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0FD36" w14:textId="2FBB51FC" w:rsidR="00FC201E" w:rsidRPr="00D563A1" w:rsidRDefault="002B20DD" w:rsidP="00B00105">
      <w:pPr>
        <w:spacing w:after="0"/>
        <w:rPr>
          <w:rFonts w:eastAsia="Calibri" w:cs="Times New Roman"/>
          <w:b/>
          <w:color w:val="000000"/>
          <w:szCs w:val="18"/>
        </w:rPr>
      </w:pPr>
      <w:r>
        <w:rPr>
          <w:rFonts w:eastAsia="Calibri" w:cs="Times New Roman"/>
          <w:b/>
          <w:color w:val="000000"/>
          <w:szCs w:val="18"/>
        </w:rPr>
        <w:t xml:space="preserve">Mixed </w:t>
      </w:r>
      <w:r w:rsidR="00FC201E">
        <w:rPr>
          <w:rFonts w:eastAsia="Calibri" w:cs="Times New Roman"/>
          <w:b/>
          <w:color w:val="000000"/>
          <w:szCs w:val="18"/>
        </w:rPr>
        <w:t>Generalized Ordered Logit Model: Application</w:t>
      </w:r>
      <w:r>
        <w:rPr>
          <w:rFonts w:eastAsia="Calibri" w:cs="Times New Roman"/>
          <w:b/>
          <w:color w:val="000000"/>
          <w:szCs w:val="18"/>
        </w:rPr>
        <w:t xml:space="preserve"> </w:t>
      </w:r>
      <w:r w:rsidR="0002461A">
        <w:rPr>
          <w:rFonts w:eastAsia="Calibri" w:cs="Times New Roman"/>
          <w:b/>
          <w:color w:val="000000"/>
          <w:szCs w:val="18"/>
        </w:rPr>
        <w:t xml:space="preserve">to </w:t>
      </w:r>
      <w:r>
        <w:rPr>
          <w:rFonts w:eastAsia="Calibri" w:cs="Times New Roman"/>
          <w:b/>
          <w:color w:val="000000"/>
          <w:szCs w:val="18"/>
        </w:rPr>
        <w:t>Airline Demand Modelling</w:t>
      </w:r>
      <w:r w:rsidR="00FC201E">
        <w:rPr>
          <w:rFonts w:eastAsia="Calibri" w:cs="Times New Roman"/>
          <w:b/>
          <w:color w:val="000000"/>
          <w:szCs w:val="18"/>
        </w:rPr>
        <w:t xml:space="preserve">  </w:t>
      </w:r>
    </w:p>
    <w:p w14:paraId="0D7ED7B0" w14:textId="27F92963" w:rsidR="00FC201E" w:rsidRDefault="00FC201E" w:rsidP="00FC201E">
      <w:pPr>
        <w:spacing w:after="0"/>
        <w:jc w:val="center"/>
        <w:rPr>
          <w:rFonts w:cs="Times New Roman"/>
          <w:b/>
          <w:sz w:val="28"/>
          <w:szCs w:val="28"/>
        </w:rPr>
      </w:pPr>
    </w:p>
    <w:p w14:paraId="2B7DF0EE" w14:textId="77777777" w:rsidR="00B2038C" w:rsidRDefault="00B2038C" w:rsidP="00B2038C">
      <w:pPr>
        <w:spacing w:after="0"/>
        <w:rPr>
          <w:rFonts w:cs="Times New Roman"/>
          <w:b/>
          <w:szCs w:val="28"/>
        </w:rPr>
      </w:pPr>
    </w:p>
    <w:p w14:paraId="6BD425C8" w14:textId="28DC6E3D" w:rsidR="00FC201E" w:rsidRPr="00E957B0" w:rsidRDefault="00FC201E" w:rsidP="00B2038C">
      <w:pPr>
        <w:spacing w:after="0"/>
        <w:rPr>
          <w:rFonts w:cs="Times New Roman"/>
          <w:b/>
          <w:szCs w:val="28"/>
        </w:rPr>
      </w:pPr>
      <w:r w:rsidRPr="00E957B0">
        <w:rPr>
          <w:rFonts w:cs="Times New Roman"/>
          <w:b/>
          <w:szCs w:val="28"/>
        </w:rPr>
        <w:t>Sudipta Dey Tirtha</w:t>
      </w:r>
    </w:p>
    <w:p w14:paraId="44BA5062" w14:textId="17DF1E16" w:rsidR="00FC201E" w:rsidRPr="00E957B0" w:rsidRDefault="002B20DD" w:rsidP="00B2038C">
      <w:pPr>
        <w:spacing w:after="0"/>
        <w:rPr>
          <w:rFonts w:cs="Times New Roman"/>
          <w:szCs w:val="28"/>
        </w:rPr>
      </w:pPr>
      <w:r>
        <w:rPr>
          <w:rFonts w:cs="Times New Roman"/>
          <w:szCs w:val="28"/>
        </w:rPr>
        <w:t>Post-doctoral Scholar</w:t>
      </w:r>
    </w:p>
    <w:p w14:paraId="3AAA9AA4" w14:textId="2FCB07C1" w:rsidR="00FC201E" w:rsidRPr="00E957B0" w:rsidRDefault="00FC201E" w:rsidP="00B2038C">
      <w:pPr>
        <w:spacing w:after="0"/>
        <w:rPr>
          <w:rFonts w:eastAsia="Calibri" w:cs="Times New Roman"/>
          <w:szCs w:val="24"/>
          <w:lang w:val="en-CA"/>
        </w:rPr>
      </w:pPr>
      <w:r w:rsidRPr="00E957B0">
        <w:rPr>
          <w:rFonts w:eastAsia="Calibri" w:cs="Times New Roman"/>
          <w:szCs w:val="24"/>
          <w:lang w:val="en-CA"/>
        </w:rPr>
        <w:t>Department of Civil, Environmental &amp; Construction Engineering</w:t>
      </w:r>
    </w:p>
    <w:p w14:paraId="3DFB53A7" w14:textId="77777777" w:rsidR="00FC201E" w:rsidRPr="00E957B0" w:rsidRDefault="00FC201E" w:rsidP="00B2038C">
      <w:pPr>
        <w:spacing w:after="0"/>
        <w:rPr>
          <w:rFonts w:eastAsia="Calibri" w:cs="Times New Roman"/>
          <w:szCs w:val="24"/>
          <w:lang w:val="en-CA"/>
        </w:rPr>
      </w:pPr>
      <w:r w:rsidRPr="00E957B0">
        <w:rPr>
          <w:rFonts w:eastAsia="Calibri" w:cs="Times New Roman"/>
          <w:szCs w:val="24"/>
          <w:lang w:val="en-CA"/>
        </w:rPr>
        <w:t>University of Central Florida</w:t>
      </w:r>
    </w:p>
    <w:p w14:paraId="6DC511D8" w14:textId="77777777" w:rsidR="00FC201E" w:rsidRPr="00E957B0" w:rsidRDefault="00FC201E" w:rsidP="00B2038C">
      <w:pPr>
        <w:spacing w:after="0"/>
        <w:rPr>
          <w:rFonts w:cs="Times New Roman"/>
          <w:szCs w:val="24"/>
        </w:rPr>
      </w:pPr>
      <w:r w:rsidRPr="00E957B0">
        <w:rPr>
          <w:rFonts w:cs="Times New Roman"/>
          <w:szCs w:val="24"/>
        </w:rPr>
        <w:t>Tel: 407-543-7521</w:t>
      </w:r>
    </w:p>
    <w:p w14:paraId="3C4A860D" w14:textId="6DCF61DF" w:rsidR="00FC201E" w:rsidRPr="00E957B0" w:rsidRDefault="00FC201E" w:rsidP="00B2038C">
      <w:pPr>
        <w:spacing w:after="0"/>
        <w:rPr>
          <w:rFonts w:cs="Times New Roman"/>
          <w:szCs w:val="24"/>
        </w:rPr>
      </w:pPr>
      <w:r w:rsidRPr="00E957B0">
        <w:rPr>
          <w:rFonts w:cs="Times New Roman"/>
          <w:szCs w:val="28"/>
        </w:rPr>
        <w:t xml:space="preserve">Email: </w:t>
      </w:r>
      <w:hyperlink r:id="rId8" w:history="1">
        <w:r w:rsidR="00626246" w:rsidRPr="00414528">
          <w:rPr>
            <w:rStyle w:val="Hyperlink"/>
            <w:rFonts w:cs="Times New Roman"/>
            <w:szCs w:val="28"/>
          </w:rPr>
          <w:t>sudiptadey.tirtha@ucf.edu</w:t>
        </w:r>
      </w:hyperlink>
    </w:p>
    <w:p w14:paraId="120580DC" w14:textId="77777777" w:rsidR="00FC201E" w:rsidRPr="00E957B0" w:rsidRDefault="00FC201E" w:rsidP="00B2038C">
      <w:pPr>
        <w:spacing w:after="0"/>
        <w:rPr>
          <w:rFonts w:cs="Times New Roman"/>
          <w:szCs w:val="28"/>
        </w:rPr>
      </w:pPr>
      <w:r w:rsidRPr="00E957B0">
        <w:rPr>
          <w:rFonts w:cs="Times New Roman"/>
          <w:szCs w:val="28"/>
        </w:rPr>
        <w:t>ORCiD number: 0000-0002-6228-0904</w:t>
      </w:r>
    </w:p>
    <w:p w14:paraId="1EF57B89" w14:textId="77777777" w:rsidR="00FC201E" w:rsidRDefault="00FC201E" w:rsidP="00B2038C">
      <w:pPr>
        <w:spacing w:after="0"/>
        <w:rPr>
          <w:rFonts w:cs="Times New Roman"/>
          <w:b/>
          <w:szCs w:val="24"/>
        </w:rPr>
      </w:pPr>
    </w:p>
    <w:p w14:paraId="39794AE1" w14:textId="77777777" w:rsidR="00FC201E" w:rsidRDefault="00FC201E" w:rsidP="00B2038C">
      <w:pPr>
        <w:spacing w:after="0"/>
        <w:rPr>
          <w:rFonts w:cs="Times New Roman"/>
          <w:b/>
          <w:szCs w:val="24"/>
        </w:rPr>
      </w:pPr>
    </w:p>
    <w:p w14:paraId="7D3A7692" w14:textId="2B0A274A" w:rsidR="00FC201E" w:rsidRPr="00E957B0" w:rsidRDefault="00FC201E" w:rsidP="00B2038C">
      <w:pPr>
        <w:spacing w:after="0"/>
        <w:rPr>
          <w:rFonts w:cs="Times New Roman"/>
          <w:b/>
          <w:szCs w:val="24"/>
        </w:rPr>
      </w:pPr>
      <w:r w:rsidRPr="00E957B0">
        <w:rPr>
          <w:rFonts w:cs="Times New Roman"/>
          <w:b/>
          <w:szCs w:val="24"/>
        </w:rPr>
        <w:t>Naveen Eluru</w:t>
      </w:r>
      <w:r w:rsidR="00B2038C">
        <w:rPr>
          <w:rStyle w:val="FootnoteReference"/>
          <w:rFonts w:cs="Times New Roman"/>
          <w:b/>
          <w:szCs w:val="24"/>
        </w:rPr>
        <w:footnoteReference w:id="1"/>
      </w:r>
    </w:p>
    <w:p w14:paraId="46E3C144" w14:textId="77777777" w:rsidR="00FC201E" w:rsidRPr="00E957B0" w:rsidRDefault="00FC201E" w:rsidP="00B2038C">
      <w:pPr>
        <w:spacing w:after="0"/>
        <w:rPr>
          <w:rFonts w:cs="Times New Roman"/>
          <w:szCs w:val="24"/>
        </w:rPr>
      </w:pPr>
      <w:r w:rsidRPr="00E957B0">
        <w:rPr>
          <w:rFonts w:cs="Times New Roman"/>
          <w:szCs w:val="24"/>
        </w:rPr>
        <w:t>Professor</w:t>
      </w:r>
    </w:p>
    <w:p w14:paraId="2A7A1BDB" w14:textId="47FBEF18" w:rsidR="00FC201E" w:rsidRPr="00E957B0" w:rsidRDefault="00FC201E" w:rsidP="00B2038C">
      <w:pPr>
        <w:spacing w:after="0"/>
        <w:rPr>
          <w:rFonts w:cs="Times New Roman"/>
          <w:szCs w:val="24"/>
        </w:rPr>
      </w:pPr>
      <w:r w:rsidRPr="00E957B0">
        <w:rPr>
          <w:rFonts w:cs="Times New Roman"/>
          <w:szCs w:val="24"/>
        </w:rPr>
        <w:t>Department of Civil, Environmental &amp; Construction Engineering</w:t>
      </w:r>
    </w:p>
    <w:p w14:paraId="298B6558" w14:textId="77777777" w:rsidR="00FC201E" w:rsidRPr="00E957B0" w:rsidRDefault="00FC201E" w:rsidP="00B2038C">
      <w:pPr>
        <w:spacing w:after="0"/>
        <w:rPr>
          <w:rFonts w:cs="Times New Roman"/>
          <w:szCs w:val="24"/>
        </w:rPr>
      </w:pPr>
      <w:r w:rsidRPr="00E957B0">
        <w:rPr>
          <w:rFonts w:cs="Times New Roman"/>
          <w:szCs w:val="24"/>
        </w:rPr>
        <w:t>University of Central Florida</w:t>
      </w:r>
    </w:p>
    <w:p w14:paraId="63BBB111" w14:textId="2710414A" w:rsidR="00FC201E" w:rsidRPr="00E957B0" w:rsidRDefault="00FC201E" w:rsidP="00B2038C">
      <w:pPr>
        <w:spacing w:after="0"/>
        <w:rPr>
          <w:rFonts w:cs="Times New Roman"/>
          <w:szCs w:val="24"/>
        </w:rPr>
      </w:pPr>
      <w:r w:rsidRPr="00E957B0">
        <w:rPr>
          <w:rFonts w:cs="Times New Roman"/>
          <w:szCs w:val="24"/>
        </w:rPr>
        <w:t>Tel: 407-823-4815, Fax: 407-823-3315</w:t>
      </w:r>
    </w:p>
    <w:p w14:paraId="3284B9AF" w14:textId="35A577FE" w:rsidR="00FC201E" w:rsidRPr="00E957B0" w:rsidRDefault="00FC201E" w:rsidP="00B2038C">
      <w:pPr>
        <w:spacing w:after="0"/>
        <w:rPr>
          <w:rFonts w:cs="Times New Roman"/>
          <w:szCs w:val="24"/>
        </w:rPr>
      </w:pPr>
      <w:r w:rsidRPr="00E957B0">
        <w:rPr>
          <w:rFonts w:cs="Times New Roman"/>
          <w:szCs w:val="24"/>
        </w:rPr>
        <w:t xml:space="preserve">Email: </w:t>
      </w:r>
      <w:hyperlink r:id="rId9" w:history="1">
        <w:r w:rsidRPr="00E957B0">
          <w:rPr>
            <w:rFonts w:cs="Times New Roman"/>
            <w:color w:val="0563C1" w:themeColor="hyperlink"/>
            <w:szCs w:val="24"/>
            <w:u w:val="single"/>
          </w:rPr>
          <w:t>naveen.eluru@ucf.edu</w:t>
        </w:r>
      </w:hyperlink>
    </w:p>
    <w:p w14:paraId="28D4469E" w14:textId="0ADE7FB8" w:rsidR="002B20DD" w:rsidRDefault="00FC201E" w:rsidP="00B2038C">
      <w:pPr>
        <w:spacing w:after="0"/>
        <w:rPr>
          <w:rFonts w:cs="Times New Roman"/>
          <w:szCs w:val="24"/>
        </w:rPr>
      </w:pPr>
      <w:r w:rsidRPr="00E957B0">
        <w:rPr>
          <w:rFonts w:cs="Times New Roman"/>
          <w:szCs w:val="24"/>
        </w:rPr>
        <w:t>ORCiD number: 0000-0003-1221-4113</w:t>
      </w:r>
    </w:p>
    <w:p w14:paraId="69B82DFB" w14:textId="77777777" w:rsidR="00B2038C" w:rsidRDefault="00B2038C">
      <w:pPr>
        <w:spacing w:after="160" w:line="259" w:lineRule="auto"/>
        <w:rPr>
          <w:rFonts w:cs="Times New Roman"/>
          <w:szCs w:val="24"/>
        </w:rPr>
      </w:pPr>
    </w:p>
    <w:p w14:paraId="2D0DF0E0" w14:textId="0A9C5B84" w:rsidR="00FC201E" w:rsidRPr="002B20DD" w:rsidRDefault="002B20DD" w:rsidP="0066416C">
      <w:pPr>
        <w:jc w:val="both"/>
        <w:rPr>
          <w:rFonts w:cs="Times New Roman"/>
          <w:b/>
          <w:bCs/>
          <w:szCs w:val="24"/>
        </w:rPr>
      </w:pPr>
      <w:r w:rsidRPr="002B20DD">
        <w:rPr>
          <w:rFonts w:cs="Times New Roman"/>
          <w:b/>
          <w:bCs/>
          <w:szCs w:val="24"/>
        </w:rPr>
        <w:t>ABSTRACT</w:t>
      </w:r>
    </w:p>
    <w:p w14:paraId="683FC6FC" w14:textId="717E6229" w:rsidR="002B20DD" w:rsidRPr="009C0403" w:rsidRDefault="002B20DD" w:rsidP="002B20DD">
      <w:pPr>
        <w:jc w:val="both"/>
        <w:rPr>
          <w:rFonts w:cs="Times New Roman"/>
          <w:szCs w:val="24"/>
        </w:rPr>
      </w:pPr>
      <w:r w:rsidRPr="009C0403">
        <w:rPr>
          <w:rFonts w:cs="Times New Roman"/>
          <w:szCs w:val="24"/>
        </w:rPr>
        <w:t>Traditional ordered outcome</w:t>
      </w:r>
      <w:r w:rsidR="006E360E">
        <w:rPr>
          <w:rFonts w:cs="Times New Roman"/>
          <w:szCs w:val="24"/>
        </w:rPr>
        <w:t>/response</w:t>
      </w:r>
      <w:r w:rsidRPr="009C0403">
        <w:rPr>
          <w:rFonts w:cs="Times New Roman"/>
          <w:szCs w:val="24"/>
        </w:rPr>
        <w:t xml:space="preserve"> models </w:t>
      </w:r>
      <w:r w:rsidR="00630CCD">
        <w:rPr>
          <w:rFonts w:cs="Times New Roman"/>
          <w:szCs w:val="24"/>
        </w:rPr>
        <w:t xml:space="preserve">such as </w:t>
      </w:r>
      <w:r w:rsidRPr="009C0403">
        <w:rPr>
          <w:rFonts w:cs="Times New Roman"/>
          <w:szCs w:val="24"/>
        </w:rPr>
        <w:t xml:space="preserve">ordered logit/probit are widely employed by researchers to examine the effects of </w:t>
      </w:r>
      <w:r>
        <w:rPr>
          <w:rFonts w:cs="Times New Roman"/>
          <w:szCs w:val="24"/>
        </w:rPr>
        <w:t>independent</w:t>
      </w:r>
      <w:r w:rsidRPr="009C0403">
        <w:rPr>
          <w:rFonts w:cs="Times New Roman"/>
          <w:szCs w:val="24"/>
        </w:rPr>
        <w:t xml:space="preserve"> factors on ordered response variables. In ordered logit/probit model</w:t>
      </w:r>
      <w:r>
        <w:rPr>
          <w:rFonts w:cs="Times New Roman"/>
          <w:szCs w:val="24"/>
        </w:rPr>
        <w:t>s</w:t>
      </w:r>
      <w:r w:rsidRPr="009C0403">
        <w:rPr>
          <w:rFonts w:cs="Times New Roman"/>
          <w:szCs w:val="24"/>
        </w:rPr>
        <w:t xml:space="preserve">, a uni-dimensional latent propensity equation is partitioned </w:t>
      </w:r>
      <w:r w:rsidR="00D073D2">
        <w:rPr>
          <w:rFonts w:cs="Times New Roman"/>
          <w:szCs w:val="24"/>
        </w:rPr>
        <w:t xml:space="preserve">using </w:t>
      </w:r>
      <w:r>
        <w:rPr>
          <w:rFonts w:cs="Times New Roman"/>
          <w:szCs w:val="24"/>
        </w:rPr>
        <w:t xml:space="preserve">a set of fixed </w:t>
      </w:r>
      <w:r w:rsidRPr="009C0403">
        <w:rPr>
          <w:rFonts w:cs="Times New Roman"/>
          <w:szCs w:val="24"/>
        </w:rPr>
        <w:t xml:space="preserve">thresholds to </w:t>
      </w:r>
      <w:r>
        <w:rPr>
          <w:rFonts w:cs="Times New Roman"/>
          <w:szCs w:val="24"/>
        </w:rPr>
        <w:t>compute</w:t>
      </w:r>
      <w:r w:rsidRPr="009C0403">
        <w:rPr>
          <w:rFonts w:cs="Times New Roman"/>
          <w:szCs w:val="24"/>
        </w:rPr>
        <w:t xml:space="preserve"> the probabilit</w:t>
      </w:r>
      <w:r>
        <w:rPr>
          <w:rFonts w:cs="Times New Roman"/>
          <w:szCs w:val="24"/>
        </w:rPr>
        <w:t xml:space="preserve">y </w:t>
      </w:r>
      <w:r w:rsidR="00D073D2">
        <w:rPr>
          <w:rFonts w:cs="Times New Roman"/>
          <w:szCs w:val="24"/>
        </w:rPr>
        <w:t xml:space="preserve">allocated to each </w:t>
      </w:r>
      <w:r w:rsidRPr="009C0403">
        <w:rPr>
          <w:rFonts w:cs="Times New Roman"/>
          <w:szCs w:val="24"/>
        </w:rPr>
        <w:t>of the o</w:t>
      </w:r>
      <w:r>
        <w:rPr>
          <w:rFonts w:cs="Times New Roman"/>
          <w:szCs w:val="24"/>
        </w:rPr>
        <w:t>rdered</w:t>
      </w:r>
      <w:r w:rsidRPr="009C0403">
        <w:rPr>
          <w:rFonts w:cs="Times New Roman"/>
          <w:szCs w:val="24"/>
        </w:rPr>
        <w:t xml:space="preserve"> </w:t>
      </w:r>
      <w:r>
        <w:rPr>
          <w:rFonts w:cs="Times New Roman"/>
          <w:szCs w:val="24"/>
        </w:rPr>
        <w:t>alternatives</w:t>
      </w:r>
      <w:r w:rsidRPr="009C0403">
        <w:rPr>
          <w:rFonts w:cs="Times New Roman"/>
          <w:szCs w:val="24"/>
        </w:rPr>
        <w:t xml:space="preserve">. </w:t>
      </w:r>
      <w:r>
        <w:rPr>
          <w:rFonts w:cs="Times New Roman"/>
          <w:szCs w:val="24"/>
        </w:rPr>
        <w:t>T</w:t>
      </w:r>
      <w:r w:rsidRPr="009C0403">
        <w:rPr>
          <w:rFonts w:cs="Times New Roman"/>
          <w:szCs w:val="24"/>
        </w:rPr>
        <w:t xml:space="preserve">he primary drawback of </w:t>
      </w:r>
      <w:r>
        <w:rPr>
          <w:rFonts w:cs="Times New Roman"/>
          <w:szCs w:val="24"/>
        </w:rPr>
        <w:t xml:space="preserve">the </w:t>
      </w:r>
      <w:r w:rsidRPr="009C0403">
        <w:rPr>
          <w:rFonts w:cs="Times New Roman"/>
          <w:szCs w:val="24"/>
        </w:rPr>
        <w:t xml:space="preserve">traditional ordered model arises </w:t>
      </w:r>
      <w:r w:rsidR="00B450CB">
        <w:rPr>
          <w:rFonts w:cs="Times New Roman"/>
          <w:szCs w:val="24"/>
        </w:rPr>
        <w:t xml:space="preserve">due to the implicit restriction </w:t>
      </w:r>
      <w:r>
        <w:rPr>
          <w:rFonts w:cs="Times New Roman"/>
          <w:szCs w:val="24"/>
        </w:rPr>
        <w:t>that thresholds remain the same across the observations</w:t>
      </w:r>
      <w:r w:rsidRPr="009C0403">
        <w:rPr>
          <w:rFonts w:cs="Times New Roman"/>
          <w:szCs w:val="24"/>
        </w:rPr>
        <w:t xml:space="preserve">. Generalized ordered </w:t>
      </w:r>
      <w:r w:rsidR="00330069">
        <w:rPr>
          <w:rFonts w:cs="Times New Roman"/>
          <w:szCs w:val="24"/>
        </w:rPr>
        <w:t>response</w:t>
      </w:r>
      <w:r w:rsidRPr="009C0403">
        <w:rPr>
          <w:rFonts w:cs="Times New Roman"/>
          <w:szCs w:val="24"/>
        </w:rPr>
        <w:t xml:space="preserve"> (GO</w:t>
      </w:r>
      <w:r w:rsidR="00330069">
        <w:rPr>
          <w:rFonts w:cs="Times New Roman"/>
          <w:szCs w:val="24"/>
        </w:rPr>
        <w:t>R</w:t>
      </w:r>
      <w:r w:rsidRPr="009C0403">
        <w:rPr>
          <w:rFonts w:cs="Times New Roman"/>
          <w:szCs w:val="24"/>
        </w:rPr>
        <w:t xml:space="preserve">) model </w:t>
      </w:r>
      <w:r>
        <w:rPr>
          <w:rFonts w:cs="Times New Roman"/>
          <w:szCs w:val="24"/>
        </w:rPr>
        <w:t xml:space="preserve">addresses this limitation by allowing the thresholds to </w:t>
      </w:r>
      <w:r w:rsidR="002B1D63">
        <w:rPr>
          <w:rFonts w:cs="Times New Roman"/>
          <w:szCs w:val="24"/>
        </w:rPr>
        <w:t xml:space="preserve">be flexible </w:t>
      </w:r>
      <w:r>
        <w:rPr>
          <w:rFonts w:cs="Times New Roman"/>
          <w:szCs w:val="24"/>
        </w:rPr>
        <w:t xml:space="preserve">across observations </w:t>
      </w:r>
      <w:r w:rsidRPr="009C0403">
        <w:rPr>
          <w:rFonts w:cs="Times New Roman"/>
          <w:szCs w:val="24"/>
        </w:rPr>
        <w:t xml:space="preserve">as a function of independent variables. </w:t>
      </w:r>
      <w:r w:rsidR="00D073D2">
        <w:rPr>
          <w:rFonts w:cs="Times New Roman"/>
          <w:szCs w:val="24"/>
        </w:rPr>
        <w:t>The GO</w:t>
      </w:r>
      <w:r w:rsidR="00330069">
        <w:rPr>
          <w:rFonts w:cs="Times New Roman"/>
          <w:szCs w:val="24"/>
        </w:rPr>
        <w:t>R</w:t>
      </w:r>
      <w:r w:rsidR="00D073D2">
        <w:rPr>
          <w:rFonts w:cs="Times New Roman"/>
          <w:szCs w:val="24"/>
        </w:rPr>
        <w:t xml:space="preserve"> model can also be easily extended to </w:t>
      </w:r>
      <w:r w:rsidR="001E0E78">
        <w:rPr>
          <w:rFonts w:cs="Times New Roman"/>
          <w:szCs w:val="24"/>
        </w:rPr>
        <w:t>accommodate</w:t>
      </w:r>
      <w:r w:rsidR="00D073D2">
        <w:rPr>
          <w:rFonts w:cs="Times New Roman"/>
          <w:szCs w:val="24"/>
        </w:rPr>
        <w:t xml:space="preserve"> </w:t>
      </w:r>
      <w:r>
        <w:rPr>
          <w:rFonts w:cs="Times New Roman"/>
          <w:szCs w:val="24"/>
        </w:rPr>
        <w:t xml:space="preserve">unobserved or missing information </w:t>
      </w:r>
      <w:r w:rsidR="00D073D2">
        <w:rPr>
          <w:rFonts w:cs="Times New Roman"/>
          <w:szCs w:val="24"/>
        </w:rPr>
        <w:t xml:space="preserve">in a framework analogous to the mixed ordered logit/probit model. </w:t>
      </w:r>
      <w:r w:rsidRPr="009C0403">
        <w:rPr>
          <w:rFonts w:cs="Times New Roman"/>
          <w:szCs w:val="24"/>
        </w:rPr>
        <w:t>In th</w:t>
      </w:r>
      <w:r>
        <w:rPr>
          <w:rFonts w:cs="Times New Roman"/>
          <w:szCs w:val="24"/>
        </w:rPr>
        <w:t>is</w:t>
      </w:r>
      <w:r w:rsidRPr="009C0403">
        <w:rPr>
          <w:rFonts w:cs="Times New Roman"/>
          <w:szCs w:val="24"/>
        </w:rPr>
        <w:t xml:space="preserve"> chapter, we present a detailed formulation </w:t>
      </w:r>
      <w:r w:rsidR="00517EC1">
        <w:rPr>
          <w:rFonts w:cs="Times New Roman"/>
          <w:szCs w:val="24"/>
        </w:rPr>
        <w:t>for</w:t>
      </w:r>
      <w:r>
        <w:rPr>
          <w:rFonts w:cs="Times New Roman"/>
          <w:szCs w:val="24"/>
        </w:rPr>
        <w:t xml:space="preserve"> </w:t>
      </w:r>
      <w:r w:rsidR="00517EC1">
        <w:rPr>
          <w:rFonts w:cs="Times New Roman"/>
          <w:szCs w:val="24"/>
        </w:rPr>
        <w:t xml:space="preserve">the </w:t>
      </w:r>
      <w:r w:rsidR="00D073D2">
        <w:rPr>
          <w:rFonts w:cs="Times New Roman"/>
          <w:szCs w:val="24"/>
        </w:rPr>
        <w:t>M</w:t>
      </w:r>
      <w:r>
        <w:rPr>
          <w:rFonts w:cs="Times New Roman"/>
          <w:szCs w:val="24"/>
        </w:rPr>
        <w:t>ixed GO</w:t>
      </w:r>
      <w:r w:rsidR="00330069">
        <w:rPr>
          <w:rFonts w:cs="Times New Roman"/>
          <w:szCs w:val="24"/>
        </w:rPr>
        <w:t>R</w:t>
      </w:r>
      <w:r>
        <w:rPr>
          <w:rFonts w:cs="Times New Roman"/>
          <w:szCs w:val="24"/>
        </w:rPr>
        <w:t xml:space="preserve"> </w:t>
      </w:r>
      <w:r w:rsidRPr="009C0403">
        <w:rPr>
          <w:rFonts w:cs="Times New Roman"/>
          <w:szCs w:val="24"/>
        </w:rPr>
        <w:t>model</w:t>
      </w:r>
      <w:r>
        <w:rPr>
          <w:rFonts w:cs="Times New Roman"/>
          <w:szCs w:val="24"/>
        </w:rPr>
        <w:t xml:space="preserve"> with an application to airport level air passenger demand data in the US.</w:t>
      </w:r>
      <w:r w:rsidRPr="009C0403">
        <w:rPr>
          <w:rFonts w:cs="Times New Roman"/>
          <w:szCs w:val="24"/>
        </w:rPr>
        <w:t xml:space="preserve"> </w:t>
      </w:r>
      <w:r w:rsidR="00304C51">
        <w:rPr>
          <w:rFonts w:cs="Times New Roman"/>
          <w:szCs w:val="24"/>
        </w:rPr>
        <w:t>In the model</w:t>
      </w:r>
      <w:r w:rsidR="00330069">
        <w:rPr>
          <w:rFonts w:cs="Times New Roman"/>
          <w:szCs w:val="24"/>
        </w:rPr>
        <w:t xml:space="preserve"> </w:t>
      </w:r>
      <w:r w:rsidR="00E36C86">
        <w:rPr>
          <w:rFonts w:cs="Times New Roman"/>
          <w:szCs w:val="24"/>
        </w:rPr>
        <w:t>applica</w:t>
      </w:r>
      <w:r w:rsidR="005039C2">
        <w:rPr>
          <w:rFonts w:cs="Times New Roman"/>
          <w:szCs w:val="24"/>
        </w:rPr>
        <w:t>tion</w:t>
      </w:r>
      <w:r w:rsidR="00E36C86">
        <w:rPr>
          <w:rFonts w:cs="Times New Roman"/>
          <w:szCs w:val="24"/>
        </w:rPr>
        <w:t>, we</w:t>
      </w:r>
      <w:r w:rsidR="00330069">
        <w:rPr>
          <w:rFonts w:cs="Times New Roman"/>
          <w:szCs w:val="24"/>
        </w:rPr>
        <w:t xml:space="preserve"> consider quarterly </w:t>
      </w:r>
      <w:r w:rsidR="00304C51">
        <w:rPr>
          <w:rFonts w:cs="Times New Roman"/>
          <w:szCs w:val="24"/>
        </w:rPr>
        <w:t xml:space="preserve">passenger </w:t>
      </w:r>
      <w:r w:rsidR="00330069">
        <w:rPr>
          <w:rFonts w:cs="Times New Roman"/>
          <w:szCs w:val="24"/>
        </w:rPr>
        <w:t xml:space="preserve">demand records </w:t>
      </w:r>
      <w:r w:rsidR="00791764">
        <w:rPr>
          <w:rFonts w:cs="Times New Roman"/>
          <w:szCs w:val="24"/>
        </w:rPr>
        <w:t>of</w:t>
      </w:r>
      <w:r w:rsidR="00330069">
        <w:rPr>
          <w:rFonts w:cs="Times New Roman"/>
          <w:szCs w:val="24"/>
        </w:rPr>
        <w:t xml:space="preserve"> 300 airports </w:t>
      </w:r>
      <w:r w:rsidR="005039C2">
        <w:rPr>
          <w:rFonts w:cs="Times New Roman"/>
          <w:szCs w:val="24"/>
        </w:rPr>
        <w:t xml:space="preserve">across the US </w:t>
      </w:r>
      <w:r w:rsidR="00330069">
        <w:rPr>
          <w:rFonts w:cs="Times New Roman"/>
          <w:szCs w:val="24"/>
        </w:rPr>
        <w:t xml:space="preserve">from 2010 – 2018. </w:t>
      </w:r>
      <w:r w:rsidR="003E628D">
        <w:rPr>
          <w:rFonts w:cs="Times New Roman"/>
          <w:szCs w:val="24"/>
        </w:rPr>
        <w:t xml:space="preserve">The model estimation process is </w:t>
      </w:r>
      <w:r w:rsidR="005D32DA">
        <w:rPr>
          <w:rFonts w:cs="Times New Roman"/>
          <w:szCs w:val="24"/>
        </w:rPr>
        <w:t>impl</w:t>
      </w:r>
      <w:r w:rsidR="000D74CE">
        <w:rPr>
          <w:rFonts w:cs="Times New Roman"/>
          <w:szCs w:val="24"/>
        </w:rPr>
        <w:t>e</w:t>
      </w:r>
      <w:r w:rsidR="005D32DA">
        <w:rPr>
          <w:rFonts w:cs="Times New Roman"/>
          <w:szCs w:val="24"/>
        </w:rPr>
        <w:t>mented</w:t>
      </w:r>
      <w:r w:rsidR="003E628D">
        <w:rPr>
          <w:rFonts w:cs="Times New Roman"/>
          <w:szCs w:val="24"/>
        </w:rPr>
        <w:t xml:space="preserve"> </w:t>
      </w:r>
      <w:r w:rsidR="00F6231F">
        <w:rPr>
          <w:rFonts w:cs="Times New Roman"/>
          <w:szCs w:val="24"/>
        </w:rPr>
        <w:t xml:space="preserve">in GAUSS </w:t>
      </w:r>
      <w:r w:rsidR="003E628D">
        <w:rPr>
          <w:rFonts w:cs="Times New Roman"/>
          <w:szCs w:val="24"/>
        </w:rPr>
        <w:t xml:space="preserve">to illustrate how the MGOL model </w:t>
      </w:r>
      <w:r w:rsidR="00404B1B">
        <w:rPr>
          <w:rFonts w:cs="Times New Roman"/>
          <w:szCs w:val="24"/>
        </w:rPr>
        <w:t xml:space="preserve">relates the </w:t>
      </w:r>
      <w:r w:rsidR="003E628D">
        <w:rPr>
          <w:rFonts w:cs="Times New Roman"/>
          <w:szCs w:val="24"/>
        </w:rPr>
        <w:t xml:space="preserve">different independent variables </w:t>
      </w:r>
      <w:r w:rsidR="00404B1B">
        <w:rPr>
          <w:rFonts w:cs="Times New Roman"/>
          <w:szCs w:val="24"/>
        </w:rPr>
        <w:t xml:space="preserve">to </w:t>
      </w:r>
      <w:r w:rsidR="00B2038C">
        <w:rPr>
          <w:rFonts w:cs="Times New Roman"/>
          <w:szCs w:val="24"/>
        </w:rPr>
        <w:t xml:space="preserve">airline </w:t>
      </w:r>
      <w:r w:rsidR="00404B1B">
        <w:rPr>
          <w:rFonts w:cs="Times New Roman"/>
          <w:szCs w:val="24"/>
        </w:rPr>
        <w:t>demand</w:t>
      </w:r>
      <w:r w:rsidR="00330069">
        <w:rPr>
          <w:rFonts w:cs="Times New Roman"/>
          <w:szCs w:val="24"/>
        </w:rPr>
        <w:t xml:space="preserve">. </w:t>
      </w:r>
    </w:p>
    <w:p w14:paraId="20DDAA8C" w14:textId="77777777" w:rsidR="00D26B69" w:rsidRDefault="00D26B69" w:rsidP="00D26B69"/>
    <w:p w14:paraId="42A7AE8A" w14:textId="77777777" w:rsidR="00D26B69" w:rsidRDefault="00D26B69">
      <w:pPr>
        <w:spacing w:after="160" w:line="259" w:lineRule="auto"/>
        <w:rPr>
          <w:rFonts w:eastAsiaTheme="majorEastAsia" w:cstheme="majorBidi"/>
          <w:b/>
          <w:szCs w:val="32"/>
        </w:rPr>
      </w:pPr>
      <w:r>
        <w:br w:type="page"/>
      </w:r>
    </w:p>
    <w:p w14:paraId="6B157F0C" w14:textId="72E47D4C" w:rsidR="008670BA" w:rsidRDefault="008670BA" w:rsidP="00D26B69">
      <w:pPr>
        <w:pStyle w:val="Heading1"/>
      </w:pPr>
      <w:r>
        <w:lastRenderedPageBreak/>
        <w:t>Introduction</w:t>
      </w:r>
    </w:p>
    <w:p w14:paraId="32C3AA2E" w14:textId="72461F83" w:rsidR="00353A62" w:rsidRDefault="00365B05" w:rsidP="00B33254">
      <w:pPr>
        <w:jc w:val="both"/>
        <w:rPr>
          <w:rFonts w:cs="Times New Roman"/>
          <w:szCs w:val="24"/>
        </w:rPr>
      </w:pPr>
      <w:r>
        <w:rPr>
          <w:rFonts w:cs="Times New Roman"/>
          <w:szCs w:val="24"/>
        </w:rPr>
        <w:t xml:space="preserve">Discrete outcome variables can be broadly classified as ordered or unordered variables. </w:t>
      </w:r>
      <w:r w:rsidR="003E0387">
        <w:rPr>
          <w:rFonts w:cs="Times New Roman"/>
          <w:szCs w:val="24"/>
        </w:rPr>
        <w:t>Examples of o</w:t>
      </w:r>
      <w:r>
        <w:rPr>
          <w:rFonts w:cs="Times New Roman"/>
          <w:szCs w:val="24"/>
        </w:rPr>
        <w:t xml:space="preserve">rdered discrete </w:t>
      </w:r>
      <w:r w:rsidR="00D16EA5">
        <w:rPr>
          <w:rFonts w:cs="Times New Roman"/>
          <w:szCs w:val="24"/>
        </w:rPr>
        <w:t>variables</w:t>
      </w:r>
      <w:r>
        <w:rPr>
          <w:rFonts w:cs="Times New Roman"/>
          <w:szCs w:val="24"/>
        </w:rPr>
        <w:t xml:space="preserve"> include household vehicle ownership</w:t>
      </w:r>
      <w:r w:rsidR="003E0387">
        <w:rPr>
          <w:rFonts w:cs="Times New Roman"/>
          <w:szCs w:val="24"/>
        </w:rPr>
        <w:t xml:space="preserve">, crash </w:t>
      </w:r>
      <w:r w:rsidR="002768C8">
        <w:rPr>
          <w:rFonts w:cs="Times New Roman"/>
          <w:szCs w:val="24"/>
        </w:rPr>
        <w:t>injury</w:t>
      </w:r>
      <w:r w:rsidR="003E0387">
        <w:rPr>
          <w:rFonts w:cs="Times New Roman"/>
          <w:szCs w:val="24"/>
        </w:rPr>
        <w:t xml:space="preserve"> severity, </w:t>
      </w:r>
      <w:r w:rsidR="002768C8">
        <w:rPr>
          <w:rFonts w:cs="Times New Roman"/>
          <w:szCs w:val="24"/>
        </w:rPr>
        <w:t xml:space="preserve">and three- or five-point </w:t>
      </w:r>
      <w:r w:rsidR="003E0387">
        <w:rPr>
          <w:rFonts w:cs="Times New Roman"/>
          <w:szCs w:val="24"/>
        </w:rPr>
        <w:t>Likert scale ratings</w:t>
      </w:r>
      <w:r w:rsidR="002768C8">
        <w:rPr>
          <w:rFonts w:cs="Times New Roman"/>
          <w:szCs w:val="24"/>
        </w:rPr>
        <w:t xml:space="preserve">. Example of unordered discrete </w:t>
      </w:r>
      <w:r w:rsidR="00D16EA5">
        <w:rPr>
          <w:rFonts w:cs="Times New Roman"/>
          <w:szCs w:val="24"/>
        </w:rPr>
        <w:t>variables</w:t>
      </w:r>
      <w:r w:rsidR="002768C8">
        <w:rPr>
          <w:rFonts w:cs="Times New Roman"/>
          <w:szCs w:val="24"/>
        </w:rPr>
        <w:t xml:space="preserve"> include travel mode choice, </w:t>
      </w:r>
      <w:r w:rsidR="00452598">
        <w:rPr>
          <w:rFonts w:cs="Times New Roman"/>
          <w:szCs w:val="24"/>
        </w:rPr>
        <w:t xml:space="preserve">activity type selection, and </w:t>
      </w:r>
      <w:r w:rsidR="002768C8">
        <w:rPr>
          <w:rFonts w:cs="Times New Roman"/>
          <w:szCs w:val="24"/>
        </w:rPr>
        <w:t xml:space="preserve">crash </w:t>
      </w:r>
      <w:r w:rsidR="0091591D">
        <w:rPr>
          <w:rFonts w:cs="Times New Roman"/>
          <w:szCs w:val="24"/>
        </w:rPr>
        <w:t>type</w:t>
      </w:r>
      <w:r w:rsidR="00452598">
        <w:rPr>
          <w:rFonts w:cs="Times New Roman"/>
          <w:szCs w:val="24"/>
        </w:rPr>
        <w:t xml:space="preserve"> outcomes. </w:t>
      </w:r>
      <w:r w:rsidR="00B56132">
        <w:rPr>
          <w:rFonts w:cs="Times New Roman"/>
          <w:szCs w:val="24"/>
        </w:rPr>
        <w:t xml:space="preserve">Unordered </w:t>
      </w:r>
      <w:r w:rsidR="008B1357">
        <w:rPr>
          <w:rFonts w:cs="Times New Roman"/>
          <w:szCs w:val="24"/>
        </w:rPr>
        <w:t xml:space="preserve">model frameworks </w:t>
      </w:r>
      <w:r w:rsidR="00842874">
        <w:rPr>
          <w:rFonts w:cs="Times New Roman"/>
          <w:szCs w:val="24"/>
        </w:rPr>
        <w:t xml:space="preserve">including </w:t>
      </w:r>
      <w:r w:rsidR="008B1357">
        <w:rPr>
          <w:rFonts w:cs="Times New Roman"/>
          <w:szCs w:val="24"/>
        </w:rPr>
        <w:t>multinomial logit model</w:t>
      </w:r>
      <w:r w:rsidR="00842874">
        <w:rPr>
          <w:rFonts w:cs="Times New Roman"/>
          <w:szCs w:val="24"/>
        </w:rPr>
        <w:t xml:space="preserve"> (MNL)</w:t>
      </w:r>
      <w:r w:rsidR="00C90BB7">
        <w:rPr>
          <w:rFonts w:cs="Times New Roman"/>
          <w:szCs w:val="24"/>
        </w:rPr>
        <w:t xml:space="preserve"> </w:t>
      </w:r>
      <w:r w:rsidR="008B1357">
        <w:rPr>
          <w:rFonts w:cs="Times New Roman"/>
          <w:szCs w:val="24"/>
        </w:rPr>
        <w:t xml:space="preserve">and </w:t>
      </w:r>
      <w:r w:rsidR="00842874">
        <w:rPr>
          <w:rFonts w:cs="Times New Roman"/>
          <w:szCs w:val="24"/>
        </w:rPr>
        <w:t xml:space="preserve">other </w:t>
      </w:r>
      <w:r w:rsidR="008B1357">
        <w:rPr>
          <w:rFonts w:cs="Times New Roman"/>
          <w:szCs w:val="24"/>
        </w:rPr>
        <w:t xml:space="preserve">variants can be employed to analyze all discrete variables. However, for modeling ordered discrete variables a specific class of discrete outcome models referred to as ordered response models are widely employed. </w:t>
      </w:r>
      <w:r w:rsidR="003C2286">
        <w:rPr>
          <w:rFonts w:cs="Times New Roman"/>
          <w:szCs w:val="24"/>
        </w:rPr>
        <w:t xml:space="preserve">In this chapter, we provide </w:t>
      </w:r>
      <w:r w:rsidR="007A720A">
        <w:rPr>
          <w:rFonts w:cs="Times New Roman"/>
          <w:szCs w:val="24"/>
        </w:rPr>
        <w:t>a</w:t>
      </w:r>
      <w:r w:rsidR="00D048CF">
        <w:rPr>
          <w:rFonts w:cs="Times New Roman"/>
          <w:szCs w:val="24"/>
        </w:rPr>
        <w:t xml:space="preserve"> discussion o</w:t>
      </w:r>
      <w:r w:rsidR="007A720A">
        <w:rPr>
          <w:rFonts w:cs="Times New Roman"/>
          <w:szCs w:val="24"/>
        </w:rPr>
        <w:t>n</w:t>
      </w:r>
      <w:r w:rsidR="00D048CF">
        <w:rPr>
          <w:rFonts w:cs="Times New Roman"/>
          <w:szCs w:val="24"/>
        </w:rPr>
        <w:t xml:space="preserve"> ordered response frameworks including mathematical details</w:t>
      </w:r>
      <w:r w:rsidR="007A720A">
        <w:rPr>
          <w:rFonts w:cs="Times New Roman"/>
          <w:szCs w:val="24"/>
        </w:rPr>
        <w:t xml:space="preserve"> </w:t>
      </w:r>
      <w:r w:rsidR="00ED41DB">
        <w:rPr>
          <w:rFonts w:cs="Times New Roman"/>
          <w:szCs w:val="24"/>
        </w:rPr>
        <w:t xml:space="preserve">of ordered </w:t>
      </w:r>
      <w:r w:rsidR="0004626D">
        <w:rPr>
          <w:rFonts w:cs="Times New Roman"/>
          <w:szCs w:val="24"/>
        </w:rPr>
        <w:t>response model</w:t>
      </w:r>
      <w:r w:rsidR="00ED41DB">
        <w:rPr>
          <w:rFonts w:cs="Times New Roman"/>
          <w:szCs w:val="24"/>
        </w:rPr>
        <w:t xml:space="preserve">, generalized ordered </w:t>
      </w:r>
      <w:r w:rsidR="0004626D">
        <w:rPr>
          <w:rFonts w:cs="Times New Roman"/>
          <w:szCs w:val="24"/>
        </w:rPr>
        <w:t xml:space="preserve">response model </w:t>
      </w:r>
      <w:r w:rsidR="00ED41DB">
        <w:rPr>
          <w:rFonts w:cs="Times New Roman"/>
          <w:szCs w:val="24"/>
        </w:rPr>
        <w:t xml:space="preserve">and mixed generalized ordered </w:t>
      </w:r>
      <w:r w:rsidR="0004626D">
        <w:rPr>
          <w:rFonts w:cs="Times New Roman"/>
          <w:szCs w:val="24"/>
        </w:rPr>
        <w:t xml:space="preserve">response model </w:t>
      </w:r>
      <w:r w:rsidR="00ED41DB">
        <w:rPr>
          <w:rFonts w:cs="Times New Roman"/>
          <w:szCs w:val="24"/>
        </w:rPr>
        <w:t xml:space="preserve">with an example </w:t>
      </w:r>
      <w:r w:rsidR="007A720A">
        <w:rPr>
          <w:rFonts w:cs="Times New Roman"/>
          <w:szCs w:val="24"/>
        </w:rPr>
        <w:t xml:space="preserve">application </w:t>
      </w:r>
      <w:r w:rsidR="00ED41DB">
        <w:rPr>
          <w:rFonts w:cs="Times New Roman"/>
          <w:szCs w:val="24"/>
        </w:rPr>
        <w:t>for airline demand analysis</w:t>
      </w:r>
      <w:r w:rsidR="00D16EA5">
        <w:rPr>
          <w:rFonts w:cs="Times New Roman"/>
          <w:szCs w:val="24"/>
        </w:rPr>
        <w:t xml:space="preserve"> (for discussion on unordered models please see </w:t>
      </w:r>
      <w:r w:rsidR="000D6556">
        <w:rPr>
          <w:rFonts w:cs="Times New Roman"/>
          <w:szCs w:val="24"/>
        </w:rPr>
        <w:fldChar w:fldCharType="begin" w:fldLock="1"/>
      </w:r>
      <w:r w:rsidR="002126A5">
        <w:rPr>
          <w:rFonts w:cs="Times New Roman"/>
          <w:szCs w:val="24"/>
        </w:rPr>
        <w:instrText>ADDIN CSL_CITATION {"citationItems":[{"id":"ITEM-1","itemData":{"author":[{"dropping-particle":"","family":"Bhat","given":"C.R.","non-dropping-particle":"","parse-names":false,"suffix":""},{"dropping-particle":"","family":"Eluru","given":"N.","non-dropping-particle":"","parse-names":false,"suffix":""},{"dropping-particle":"","family":"Copperman","given":"R.B.","non-dropping-particle":"","parse-names":false,"suffix":""}],"chapter-number":"5","container-title":"Handbook of Transport Modelling","edition":"2nd","editor":[{"dropping-particle":"","family":"D.A. Henser","given":"","non-dropping-particle":"","parse-names":false,"suffix":""},{"dropping-particle":"","family":"Button","given":"K.J.","non-dropping-particle":"","parse-names":false,"suffix":""}],"id":"ITEM-1","issued":{"date-parts":[["2008"]]},"page":"75-104","publisher":"Elsevier Science","title":"Flexible Model Structures for Discrete Choice Analysis","type":"chapter"},"uris":["http://www.mendeley.com/documents/?uuid=10401561-f1b0-4855-99e6-bb2157716793"]}],"mendeley":{"formattedCitation":"(Bhat et al. 2008)","manualFormatting":"Bhat et al. 2008","plainTextFormattedCitation":"(Bhat et al. 2008)","previouslyFormattedCitation":"(Bhat et al. 2008)"},"properties":{"noteIndex":0},"schema":"https://github.com/citation-style-language/schema/raw/master/csl-citation.json"}</w:instrText>
      </w:r>
      <w:r w:rsidR="000D6556">
        <w:rPr>
          <w:rFonts w:cs="Times New Roman"/>
          <w:szCs w:val="24"/>
        </w:rPr>
        <w:fldChar w:fldCharType="separate"/>
      </w:r>
      <w:r w:rsidR="000D6556" w:rsidRPr="000D6556">
        <w:rPr>
          <w:rFonts w:cs="Times New Roman"/>
          <w:noProof/>
          <w:szCs w:val="24"/>
        </w:rPr>
        <w:t>Bhat</w:t>
      </w:r>
      <w:r w:rsidR="000D6556">
        <w:rPr>
          <w:rFonts w:cs="Times New Roman"/>
          <w:noProof/>
          <w:szCs w:val="24"/>
        </w:rPr>
        <w:t xml:space="preserve"> et al.</w:t>
      </w:r>
      <w:r w:rsidR="000D6556" w:rsidRPr="000D6556">
        <w:rPr>
          <w:rFonts w:cs="Times New Roman"/>
          <w:noProof/>
          <w:szCs w:val="24"/>
        </w:rPr>
        <w:t xml:space="preserve"> 2008</w:t>
      </w:r>
      <w:r w:rsidR="000D6556">
        <w:rPr>
          <w:rFonts w:cs="Times New Roman"/>
          <w:szCs w:val="24"/>
        </w:rPr>
        <w:fldChar w:fldCharType="end"/>
      </w:r>
      <w:r w:rsidR="00D16EA5">
        <w:rPr>
          <w:rFonts w:cs="Times New Roman"/>
          <w:szCs w:val="24"/>
        </w:rPr>
        <w:t>)</w:t>
      </w:r>
      <w:r w:rsidR="00ED41DB">
        <w:rPr>
          <w:rFonts w:cs="Times New Roman"/>
          <w:szCs w:val="24"/>
        </w:rPr>
        <w:t>.</w:t>
      </w:r>
    </w:p>
    <w:p w14:paraId="1E84C6B3" w14:textId="77B7121B" w:rsidR="000C6A5C" w:rsidRDefault="004074E6" w:rsidP="00991DF8">
      <w:pPr>
        <w:ind w:firstLine="720"/>
        <w:jc w:val="both"/>
        <w:rPr>
          <w:rFonts w:cs="Times New Roman"/>
          <w:szCs w:val="24"/>
        </w:rPr>
      </w:pPr>
      <w:r>
        <w:rPr>
          <w:rFonts w:cs="Times New Roman"/>
          <w:szCs w:val="24"/>
        </w:rPr>
        <w:t xml:space="preserve">The ordered response approaches </w:t>
      </w:r>
      <w:r w:rsidR="00453116">
        <w:rPr>
          <w:rFonts w:cs="Times New Roman"/>
          <w:szCs w:val="24"/>
        </w:rPr>
        <w:t xml:space="preserve">accommodate </w:t>
      </w:r>
      <w:r>
        <w:rPr>
          <w:rFonts w:cs="Times New Roman"/>
          <w:szCs w:val="24"/>
        </w:rPr>
        <w:t xml:space="preserve">the inherent ordering of the </w:t>
      </w:r>
      <w:r w:rsidR="00453116">
        <w:rPr>
          <w:rFonts w:cs="Times New Roman"/>
          <w:szCs w:val="24"/>
        </w:rPr>
        <w:t>chosen/</w:t>
      </w:r>
      <w:r>
        <w:rPr>
          <w:rFonts w:cs="Times New Roman"/>
          <w:szCs w:val="24"/>
        </w:rPr>
        <w:t>dependent variable while partitioning</w:t>
      </w:r>
      <w:r w:rsidR="00353A62">
        <w:rPr>
          <w:rFonts w:cs="Times New Roman"/>
          <w:szCs w:val="24"/>
        </w:rPr>
        <w:t xml:space="preserve"> </w:t>
      </w:r>
      <w:r w:rsidR="00353A62" w:rsidRPr="009C0403">
        <w:rPr>
          <w:rFonts w:cs="Times New Roman"/>
          <w:szCs w:val="24"/>
        </w:rPr>
        <w:t xml:space="preserve">a uni-dimensional latent propensity equation </w:t>
      </w:r>
      <w:r w:rsidR="00353A62">
        <w:rPr>
          <w:rFonts w:cs="Times New Roman"/>
          <w:szCs w:val="24"/>
        </w:rPr>
        <w:t xml:space="preserve">using a set of fixed </w:t>
      </w:r>
      <w:r w:rsidR="00353A62" w:rsidRPr="009C0403">
        <w:rPr>
          <w:rFonts w:cs="Times New Roman"/>
          <w:szCs w:val="24"/>
        </w:rPr>
        <w:t xml:space="preserve">thresholds to </w:t>
      </w:r>
      <w:r w:rsidR="00353A62">
        <w:rPr>
          <w:rFonts w:cs="Times New Roman"/>
          <w:szCs w:val="24"/>
        </w:rPr>
        <w:t>compute</w:t>
      </w:r>
      <w:r w:rsidR="00353A62" w:rsidRPr="009C0403">
        <w:rPr>
          <w:rFonts w:cs="Times New Roman"/>
          <w:szCs w:val="24"/>
        </w:rPr>
        <w:t xml:space="preserve"> the probabilit</w:t>
      </w:r>
      <w:r w:rsidR="00353A62">
        <w:rPr>
          <w:rFonts w:cs="Times New Roman"/>
          <w:szCs w:val="24"/>
        </w:rPr>
        <w:t xml:space="preserve">y </w:t>
      </w:r>
      <w:r w:rsidR="00353A62" w:rsidRPr="009C0403">
        <w:rPr>
          <w:rFonts w:cs="Times New Roman"/>
          <w:szCs w:val="24"/>
        </w:rPr>
        <w:t>of the o</w:t>
      </w:r>
      <w:r w:rsidR="00353A62">
        <w:rPr>
          <w:rFonts w:cs="Times New Roman"/>
          <w:szCs w:val="24"/>
        </w:rPr>
        <w:t>rdered</w:t>
      </w:r>
      <w:r w:rsidR="00353A62" w:rsidRPr="009C0403">
        <w:rPr>
          <w:rFonts w:cs="Times New Roman"/>
          <w:szCs w:val="24"/>
        </w:rPr>
        <w:t xml:space="preserve"> </w:t>
      </w:r>
      <w:r w:rsidR="00353A62">
        <w:rPr>
          <w:rFonts w:cs="Times New Roman"/>
          <w:szCs w:val="24"/>
        </w:rPr>
        <w:t>alternatives</w:t>
      </w:r>
      <w:r w:rsidR="00353A62" w:rsidRPr="009C0403">
        <w:rPr>
          <w:rFonts w:cs="Times New Roman"/>
          <w:szCs w:val="24"/>
        </w:rPr>
        <w:t>.</w:t>
      </w:r>
      <w:r w:rsidR="00BC55EF">
        <w:rPr>
          <w:rFonts w:cs="Times New Roman"/>
          <w:szCs w:val="24"/>
        </w:rPr>
        <w:t xml:space="preserve"> Further, the uni-dimensional propensity approach allows </w:t>
      </w:r>
      <w:r w:rsidR="000204A8">
        <w:rPr>
          <w:rFonts w:cs="Times New Roman"/>
          <w:szCs w:val="24"/>
        </w:rPr>
        <w:t>for identification of factors affecting the dependent variable in a parsimonious manner relative to the unordered model systems.</w:t>
      </w:r>
      <w:r w:rsidR="006D6874">
        <w:rPr>
          <w:rFonts w:cs="Times New Roman"/>
          <w:szCs w:val="24"/>
        </w:rPr>
        <w:t xml:space="preserve"> In </w:t>
      </w:r>
      <w:r w:rsidR="00BB57F8">
        <w:rPr>
          <w:rFonts w:cs="Times New Roman"/>
          <w:szCs w:val="24"/>
        </w:rPr>
        <w:t>tradition</w:t>
      </w:r>
      <w:r w:rsidR="00626A29">
        <w:rPr>
          <w:rFonts w:cs="Times New Roman"/>
          <w:szCs w:val="24"/>
        </w:rPr>
        <w:t>al</w:t>
      </w:r>
      <w:r w:rsidR="00BB57F8">
        <w:rPr>
          <w:rFonts w:cs="Times New Roman"/>
          <w:szCs w:val="24"/>
        </w:rPr>
        <w:t xml:space="preserve"> </w:t>
      </w:r>
      <w:r w:rsidR="006D6874">
        <w:rPr>
          <w:rFonts w:cs="Times New Roman"/>
          <w:szCs w:val="24"/>
        </w:rPr>
        <w:t xml:space="preserve">ordered </w:t>
      </w:r>
      <w:r w:rsidR="00BB57F8">
        <w:rPr>
          <w:rFonts w:cs="Times New Roman"/>
          <w:szCs w:val="24"/>
        </w:rPr>
        <w:t xml:space="preserve">response </w:t>
      </w:r>
      <w:r w:rsidR="006D6874">
        <w:rPr>
          <w:rFonts w:cs="Times New Roman"/>
          <w:szCs w:val="24"/>
        </w:rPr>
        <w:t xml:space="preserve">systems, </w:t>
      </w:r>
      <w:r w:rsidR="00BB57F8">
        <w:rPr>
          <w:rFonts w:cs="Times New Roman"/>
          <w:szCs w:val="24"/>
        </w:rPr>
        <w:t>the number of parameters</w:t>
      </w:r>
      <w:r w:rsidR="00453116">
        <w:rPr>
          <w:rFonts w:cs="Times New Roman"/>
          <w:szCs w:val="24"/>
        </w:rPr>
        <w:t>/coefficients</w:t>
      </w:r>
      <w:r w:rsidR="00BB57F8">
        <w:rPr>
          <w:rFonts w:cs="Times New Roman"/>
          <w:szCs w:val="24"/>
        </w:rPr>
        <w:t xml:space="preserve"> estimated is </w:t>
      </w:r>
      <w:r w:rsidR="00453116">
        <w:rPr>
          <w:rFonts w:cs="Times New Roman"/>
          <w:szCs w:val="24"/>
        </w:rPr>
        <w:t xml:space="preserve">tied to </w:t>
      </w:r>
      <w:r w:rsidR="00BB57F8">
        <w:rPr>
          <w:rFonts w:cs="Times New Roman"/>
          <w:szCs w:val="24"/>
        </w:rPr>
        <w:t xml:space="preserve">the number of independent variables (and is not impacted by the number of alternatives). </w:t>
      </w:r>
      <w:r w:rsidR="003F6375">
        <w:rPr>
          <w:rFonts w:cs="Times New Roman"/>
          <w:szCs w:val="24"/>
        </w:rPr>
        <w:t>While th</w:t>
      </w:r>
      <w:r w:rsidR="00626A29">
        <w:rPr>
          <w:rFonts w:cs="Times New Roman"/>
          <w:szCs w:val="24"/>
        </w:rPr>
        <w:t>is</w:t>
      </w:r>
      <w:r w:rsidR="003F6375">
        <w:rPr>
          <w:rFonts w:cs="Times New Roman"/>
          <w:szCs w:val="24"/>
        </w:rPr>
        <w:t xml:space="preserve"> ability </w:t>
      </w:r>
      <w:r w:rsidR="00626A29">
        <w:rPr>
          <w:rFonts w:cs="Times New Roman"/>
          <w:szCs w:val="24"/>
        </w:rPr>
        <w:t xml:space="preserve">to </w:t>
      </w:r>
      <w:r w:rsidR="003F6375">
        <w:rPr>
          <w:rFonts w:cs="Times New Roman"/>
          <w:szCs w:val="24"/>
        </w:rPr>
        <w:t>incorporat</w:t>
      </w:r>
      <w:r w:rsidR="00626A29">
        <w:rPr>
          <w:rFonts w:cs="Times New Roman"/>
          <w:szCs w:val="24"/>
        </w:rPr>
        <w:t>e</w:t>
      </w:r>
      <w:r w:rsidR="003F6375">
        <w:rPr>
          <w:rFonts w:cs="Times New Roman"/>
          <w:szCs w:val="24"/>
        </w:rPr>
        <w:t xml:space="preserve"> the impact of independent variables on </w:t>
      </w:r>
      <w:r w:rsidR="00EE2742">
        <w:rPr>
          <w:rFonts w:cs="Times New Roman"/>
          <w:szCs w:val="24"/>
        </w:rPr>
        <w:t xml:space="preserve">the </w:t>
      </w:r>
      <w:r w:rsidR="003F6375">
        <w:rPr>
          <w:rFonts w:cs="Times New Roman"/>
          <w:szCs w:val="24"/>
        </w:rPr>
        <w:t xml:space="preserve">dependent variable </w:t>
      </w:r>
      <w:r w:rsidR="00626A29">
        <w:rPr>
          <w:rFonts w:cs="Times New Roman"/>
          <w:szCs w:val="24"/>
        </w:rPr>
        <w:t xml:space="preserve">parsimoniously </w:t>
      </w:r>
      <w:r w:rsidR="003F6375">
        <w:rPr>
          <w:rFonts w:cs="Times New Roman"/>
          <w:szCs w:val="24"/>
        </w:rPr>
        <w:t xml:space="preserve">through a single equation is </w:t>
      </w:r>
      <w:r w:rsidR="004D6253">
        <w:rPr>
          <w:rFonts w:cs="Times New Roman"/>
          <w:szCs w:val="24"/>
        </w:rPr>
        <w:t>useful, in some cases this can also result in restrictive specifications</w:t>
      </w:r>
      <w:r w:rsidR="00DE6040">
        <w:rPr>
          <w:rFonts w:cs="Times New Roman"/>
          <w:szCs w:val="24"/>
        </w:rPr>
        <w:t xml:space="preserve">. </w:t>
      </w:r>
      <w:r w:rsidR="000E1196">
        <w:rPr>
          <w:rFonts w:cs="Times New Roman"/>
          <w:szCs w:val="24"/>
        </w:rPr>
        <w:t xml:space="preserve">The restrictive structure only allows for a single parameter to represent the impact of each independent variable. </w:t>
      </w:r>
      <w:r w:rsidR="0016331A">
        <w:rPr>
          <w:rFonts w:cs="Times New Roman"/>
          <w:szCs w:val="24"/>
        </w:rPr>
        <w:t xml:space="preserve">The structure does not allow for a variable to impact partial group of alternatives. For example, consider an analysis of household vehicle ownership variable defined as zero, one, two and three or more vehicles. </w:t>
      </w:r>
      <w:r w:rsidR="00AA6A43">
        <w:rPr>
          <w:rFonts w:cs="Times New Roman"/>
          <w:szCs w:val="24"/>
        </w:rPr>
        <w:t>Household i</w:t>
      </w:r>
      <w:r w:rsidR="0016331A">
        <w:rPr>
          <w:rFonts w:cs="Times New Roman"/>
          <w:szCs w:val="24"/>
        </w:rPr>
        <w:t>ncome</w:t>
      </w:r>
      <w:r w:rsidR="00020952">
        <w:rPr>
          <w:rFonts w:cs="Times New Roman"/>
          <w:szCs w:val="24"/>
        </w:rPr>
        <w:t xml:space="preserve"> available in </w:t>
      </w:r>
      <w:r w:rsidR="00104EFE">
        <w:rPr>
          <w:rFonts w:cs="Times New Roman"/>
          <w:szCs w:val="24"/>
        </w:rPr>
        <w:t xml:space="preserve">the data is defined as &lt;30,000$, between 30,000$ and 60,000$ and greater than 60,000$. </w:t>
      </w:r>
      <w:r w:rsidR="006B7503">
        <w:rPr>
          <w:rFonts w:cs="Times New Roman"/>
          <w:szCs w:val="24"/>
        </w:rPr>
        <w:t>Let us consider the possibility that h</w:t>
      </w:r>
      <w:r w:rsidR="00104EFE">
        <w:rPr>
          <w:rFonts w:cs="Times New Roman"/>
          <w:szCs w:val="24"/>
        </w:rPr>
        <w:t xml:space="preserve">ouseholds with income greater than 60,000$ are </w:t>
      </w:r>
      <w:r w:rsidR="006B7503">
        <w:rPr>
          <w:rFonts w:cs="Times New Roman"/>
          <w:szCs w:val="24"/>
        </w:rPr>
        <w:t xml:space="preserve">not </w:t>
      </w:r>
      <w:r w:rsidR="00104EFE">
        <w:rPr>
          <w:rFonts w:cs="Times New Roman"/>
          <w:szCs w:val="24"/>
        </w:rPr>
        <w:t>likely to</w:t>
      </w:r>
      <w:r w:rsidR="006B7503">
        <w:rPr>
          <w:rFonts w:cs="Times New Roman"/>
          <w:szCs w:val="24"/>
        </w:rPr>
        <w:t xml:space="preserve"> </w:t>
      </w:r>
      <w:r w:rsidR="00104EFE">
        <w:rPr>
          <w:rFonts w:cs="Times New Roman"/>
          <w:szCs w:val="24"/>
        </w:rPr>
        <w:t xml:space="preserve">own </w:t>
      </w:r>
      <w:r w:rsidR="006B7503">
        <w:rPr>
          <w:rFonts w:cs="Times New Roman"/>
          <w:szCs w:val="24"/>
        </w:rPr>
        <w:t>zero cars</w:t>
      </w:r>
      <w:r w:rsidR="0030016D">
        <w:rPr>
          <w:rFonts w:cs="Times New Roman"/>
          <w:szCs w:val="24"/>
        </w:rPr>
        <w:t xml:space="preserve"> while the exact number of vehicles owned is not affected by income. </w:t>
      </w:r>
      <w:r w:rsidR="00493F89">
        <w:rPr>
          <w:rFonts w:cs="Times New Roman"/>
          <w:szCs w:val="24"/>
        </w:rPr>
        <w:t>Incorporating this behavior in the traditional ordered model explicitly is not possible as reducing the probability of zero vehicles is also associated with a</w:t>
      </w:r>
      <w:r w:rsidR="00671594">
        <w:rPr>
          <w:rFonts w:cs="Times New Roman"/>
          <w:szCs w:val="24"/>
        </w:rPr>
        <w:t xml:space="preserve"> corresponding </w:t>
      </w:r>
      <w:r w:rsidR="00493F89">
        <w:rPr>
          <w:rFonts w:cs="Times New Roman"/>
          <w:szCs w:val="24"/>
        </w:rPr>
        <w:t>increase in the probability of three or more vehicles</w:t>
      </w:r>
      <w:r w:rsidR="00931FEA">
        <w:rPr>
          <w:rFonts w:cs="Times New Roman"/>
          <w:szCs w:val="24"/>
        </w:rPr>
        <w:t xml:space="preserve"> (see Eluru et al. 2008 for discussion in another empirical context)</w:t>
      </w:r>
      <w:r w:rsidR="00493F89">
        <w:rPr>
          <w:rFonts w:cs="Times New Roman"/>
          <w:szCs w:val="24"/>
        </w:rPr>
        <w:t xml:space="preserve">. </w:t>
      </w:r>
      <w:r w:rsidR="00DE6040">
        <w:rPr>
          <w:rFonts w:cs="Times New Roman"/>
          <w:szCs w:val="24"/>
        </w:rPr>
        <w:t xml:space="preserve">The restrictive assumption in traditional ordered models can be </w:t>
      </w:r>
      <w:r w:rsidR="0035310E">
        <w:rPr>
          <w:rFonts w:cs="Times New Roman"/>
          <w:szCs w:val="24"/>
        </w:rPr>
        <w:t xml:space="preserve">addressed </w:t>
      </w:r>
      <w:r w:rsidR="001F72C0">
        <w:rPr>
          <w:rFonts w:cs="Times New Roman"/>
          <w:szCs w:val="24"/>
        </w:rPr>
        <w:t xml:space="preserve">by allowing for the </w:t>
      </w:r>
      <w:r w:rsidR="00583D83">
        <w:rPr>
          <w:rFonts w:cs="Times New Roman"/>
          <w:szCs w:val="24"/>
        </w:rPr>
        <w:t xml:space="preserve">impact </w:t>
      </w:r>
      <w:r w:rsidR="001F72C0">
        <w:rPr>
          <w:rFonts w:cs="Times New Roman"/>
          <w:szCs w:val="24"/>
        </w:rPr>
        <w:t xml:space="preserve">of independent variables </w:t>
      </w:r>
      <w:r w:rsidR="009B1F36">
        <w:rPr>
          <w:rFonts w:cs="Times New Roman"/>
          <w:szCs w:val="24"/>
        </w:rPr>
        <w:t xml:space="preserve">to </w:t>
      </w:r>
      <w:r w:rsidR="001F72C0">
        <w:rPr>
          <w:rFonts w:cs="Times New Roman"/>
          <w:szCs w:val="24"/>
        </w:rPr>
        <w:t>vary across the alternative space</w:t>
      </w:r>
      <w:r w:rsidR="006F6D93">
        <w:rPr>
          <w:rFonts w:cs="Times New Roman"/>
          <w:szCs w:val="24"/>
        </w:rPr>
        <w:t xml:space="preserve"> in two forms. First, the change is accommodated by allowing the thresholds to vary across observation</w:t>
      </w:r>
      <w:r w:rsidR="00583D83">
        <w:rPr>
          <w:rFonts w:cs="Times New Roman"/>
          <w:szCs w:val="24"/>
        </w:rPr>
        <w:t>s</w:t>
      </w:r>
      <w:r w:rsidR="006F6D93">
        <w:rPr>
          <w:rFonts w:cs="Times New Roman"/>
          <w:szCs w:val="24"/>
        </w:rPr>
        <w:t xml:space="preserve"> as a function of observed attributes. Second, the traditional approach </w:t>
      </w:r>
      <w:r w:rsidR="0071341C">
        <w:rPr>
          <w:rFonts w:cs="Times New Roman"/>
          <w:szCs w:val="24"/>
        </w:rPr>
        <w:t xml:space="preserve">is modified </w:t>
      </w:r>
      <w:r w:rsidR="006F6D93">
        <w:rPr>
          <w:rFonts w:cs="Times New Roman"/>
          <w:szCs w:val="24"/>
        </w:rPr>
        <w:t xml:space="preserve">to </w:t>
      </w:r>
      <w:r w:rsidR="006F6D93" w:rsidRPr="008670BA">
        <w:rPr>
          <w:rFonts w:cs="Times New Roman"/>
          <w:szCs w:val="24"/>
        </w:rPr>
        <w:t>allow</w:t>
      </w:r>
      <w:r w:rsidR="006F6D93">
        <w:rPr>
          <w:rFonts w:cs="Times New Roman"/>
          <w:szCs w:val="24"/>
        </w:rPr>
        <w:t xml:space="preserve"> for</w:t>
      </w:r>
      <w:r w:rsidR="006F6D93" w:rsidRPr="008670BA">
        <w:rPr>
          <w:rFonts w:cs="Times New Roman"/>
          <w:szCs w:val="24"/>
        </w:rPr>
        <w:t xml:space="preserve"> the impact of exogenous</w:t>
      </w:r>
      <w:r w:rsidR="006F6D93">
        <w:rPr>
          <w:rFonts w:cs="Times New Roman"/>
          <w:szCs w:val="24"/>
        </w:rPr>
        <w:t xml:space="preserve"> </w:t>
      </w:r>
      <w:r w:rsidR="006F6D93" w:rsidRPr="008670BA">
        <w:rPr>
          <w:rFonts w:cs="Times New Roman"/>
          <w:szCs w:val="24"/>
        </w:rPr>
        <w:t>variables to vary across alternatives</w:t>
      </w:r>
      <w:r w:rsidR="006F6D93">
        <w:rPr>
          <w:rFonts w:cs="Times New Roman"/>
          <w:szCs w:val="24"/>
        </w:rPr>
        <w:t xml:space="preserve">. The first approach gives rise to the </w:t>
      </w:r>
      <w:r w:rsidR="002A687F">
        <w:rPr>
          <w:rFonts w:cs="Times New Roman"/>
          <w:szCs w:val="24"/>
        </w:rPr>
        <w:t xml:space="preserve">model referred to as the </w:t>
      </w:r>
      <w:r w:rsidR="006F6D93">
        <w:rPr>
          <w:rFonts w:cs="Times New Roman"/>
          <w:szCs w:val="24"/>
        </w:rPr>
        <w:t>Generalized Ordered Response Model</w:t>
      </w:r>
      <w:r w:rsidR="00DA65EF">
        <w:rPr>
          <w:rFonts w:cs="Times New Roman"/>
          <w:szCs w:val="24"/>
        </w:rPr>
        <w:t xml:space="preserve"> </w:t>
      </w:r>
      <w:r w:rsidR="00634AA5">
        <w:rPr>
          <w:rFonts w:cs="Times New Roman"/>
          <w:szCs w:val="24"/>
        </w:rPr>
        <w:fldChar w:fldCharType="begin" w:fldLock="1"/>
      </w:r>
      <w:r w:rsidR="002126A5">
        <w:rPr>
          <w:rFonts w:cs="Times New Roman"/>
          <w:szCs w:val="24"/>
        </w:rPr>
        <w:instrText>ADDIN CSL_CITATION {"citationItems":[{"id":"ITEM-1","itemData":{"DOI":"10.3141/1784-17","ISSN":"03611981","abstract":"An ordered mixed logit (OML) formulation is proposed to model injury severity, given a crash. The proposed formulation extends the ordered probit/logit models by accommodating variable, random, and correlated injury severity thresholds associated with various severity levels. The proposed model is calibrated using a sample from the 1996 National Automotive Sampling System General Estimates System data set. Chisquare tests indicate that the more general OML formulation provides a statistically superior representation of observed injury severity data than corresponding ordered logit models. Model results indicate that injury severity thresholds vary systematically depending on individual, traffic, crash-related, and vehicle characteristics. Further, significant unobserved variability in thresholds is found, and the thresholds are correlated within a given individual. The results suggest drastically increased chances of fatal injury due to certain factors including tripped rollovers and injuries sustained by moped riders. These findings suggest that targeting these drivers, behaviors, and conditions with suitable countermeasures including education, enforcement, or curfews is likely to result in substantial safety benefits. The model and results have important implications for developing effective safety countermeasures and more accurate assessment of their impacts.","author":[{"dropping-particle":"","family":"Srinivasan","given":"Karthik K.","non-dropping-particle":"","parse-names":false,"suffix":""}],"container-title":"Transportation Research Record","id":"ITEM-1","issue":"1784","issued":{"date-parts":[["2002"]]},"page":"132-142","title":"Injury severity analysis with variable and correlated thresholds: Ordered mixed logit formulation","type":"article-journal"},"uris":["http://www.mendeley.com/documents/?uuid=ba477cd5-3714-45fc-8390-ebaff677ea23"]},{"id":"ITEM-2","itemData":{"DOI":"10.1016/j.aap.2007.11.010","ISSN":"00014575","PMID":"18460372","abstract":"This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 2007 Elsevier Ltd. All rights reserved.","author":[{"dropping-particle":"","family":"Eluru","given":"Naveen","non-dropping-particle":"","parse-names":false,"suffix":""},{"dropping-particle":"","family":"Bhat","given":"Chandra R.","non-dropping-particle":"","parse-names":false,"suffix":""},{"dropping-particle":"","family":"Hensher","given":"David A.","non-dropping-particle":"","parse-names":false,"suffix":""}],"container-title":"Accident Analysis and Prevention","id":"ITEM-2","issue":"3","issued":{"date-parts":[["2008"]]},"page":"1033-1054","title":"A mixed generalized ordered response model for examining pedestrian and bicyclist injury severity level in traffic crashes","type":"article-journal","volume":"40"},"uris":["http://www.mendeley.com/documents/?uuid=e439ac6e-2369-4ff4-b2b4-488712b997fa"]},{"id":"ITEM-3","itemData":{"DOI":"10.1016/j.aap.2013.06.040","ISSN":"00014575","abstract":"This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author":[{"dropping-particle":"","family":"Yasmin","given":"Shamsunnahar","non-dropping-particle":"","parse-names":false,"suffix":""},{"dropping-particle":"","family":"Eluru","given":"Naveen","non-dropping-particle":"","parse-names":false,"suffix":""}],"container-title":"Accident Analysis and Prevention","id":"ITEM-3","issued":{"date-parts":[["2013"]]},"page":"506-521","publisher":"Elsevier Ltd","title":"Evaluating alternate discrete outcome frameworks for modeling crash injury severity","type":"article-journal","volume":"59"},"uris":["http://www.mendeley.com/documents/?uuid=2e4da58e-7135-4f5a-8645-62bf0e1879d4"]}],"mendeley":{"formattedCitation":"(Srinivasan 2002; Eluru et al. 2008; Yasmin and Eluru 2013)","manualFormatting":"(Terza 1985; Eluru et al. 2008; Srinivasan 2002; Yasmin and Eluru 2013)","plainTextFormattedCitation":"(Srinivasan 2002; Eluru et al. 2008; Yasmin and Eluru 2013)","previouslyFormattedCitation":"(Srinivasan 2002; Eluru et al. 2008; Yasmin and Eluru 2013)"},"properties":{"noteIndex":0},"schema":"https://github.com/citation-style-language/schema/raw/master/csl-citation.json"}</w:instrText>
      </w:r>
      <w:r w:rsidR="00634AA5">
        <w:rPr>
          <w:rFonts w:cs="Times New Roman"/>
          <w:szCs w:val="24"/>
        </w:rPr>
        <w:fldChar w:fldCharType="separate"/>
      </w:r>
      <w:r w:rsidR="00634AA5" w:rsidRPr="00F826F7">
        <w:rPr>
          <w:rFonts w:cs="Times New Roman"/>
          <w:noProof/>
          <w:szCs w:val="24"/>
        </w:rPr>
        <w:t>(</w:t>
      </w:r>
      <w:r w:rsidR="00634AA5">
        <w:rPr>
          <w:rFonts w:cs="Times New Roman"/>
          <w:noProof/>
          <w:szCs w:val="24"/>
        </w:rPr>
        <w:t xml:space="preserve">Terza 1985; </w:t>
      </w:r>
      <w:r w:rsidR="00634AA5" w:rsidRPr="00F826F7">
        <w:rPr>
          <w:rFonts w:cs="Times New Roman"/>
          <w:noProof/>
          <w:szCs w:val="24"/>
        </w:rPr>
        <w:t>Eluru</w:t>
      </w:r>
      <w:r w:rsidR="00634AA5">
        <w:rPr>
          <w:rFonts w:cs="Times New Roman"/>
          <w:noProof/>
          <w:szCs w:val="24"/>
        </w:rPr>
        <w:t xml:space="preserve"> et al.</w:t>
      </w:r>
      <w:r w:rsidR="00634AA5" w:rsidRPr="00F826F7">
        <w:rPr>
          <w:rFonts w:cs="Times New Roman"/>
          <w:noProof/>
          <w:szCs w:val="24"/>
        </w:rPr>
        <w:t xml:space="preserve"> 2008; Srinivasan 2002; Yasmin </w:t>
      </w:r>
      <w:r w:rsidR="009241A4">
        <w:rPr>
          <w:rFonts w:cs="Times New Roman"/>
          <w:noProof/>
          <w:szCs w:val="24"/>
        </w:rPr>
        <w:t>and</w:t>
      </w:r>
      <w:r w:rsidR="00634AA5" w:rsidRPr="00F826F7">
        <w:rPr>
          <w:rFonts w:cs="Times New Roman"/>
          <w:noProof/>
          <w:szCs w:val="24"/>
        </w:rPr>
        <w:t xml:space="preserve"> Eluru 2013)</w:t>
      </w:r>
      <w:r w:rsidR="00634AA5">
        <w:rPr>
          <w:rFonts w:cs="Times New Roman"/>
          <w:szCs w:val="24"/>
        </w:rPr>
        <w:fldChar w:fldCharType="end"/>
      </w:r>
      <w:r w:rsidR="00634AA5">
        <w:rPr>
          <w:rFonts w:cs="Times New Roman"/>
          <w:szCs w:val="24"/>
        </w:rPr>
        <w:t xml:space="preserve"> </w:t>
      </w:r>
      <w:r w:rsidR="006F6D93">
        <w:rPr>
          <w:rFonts w:cs="Times New Roman"/>
          <w:szCs w:val="24"/>
        </w:rPr>
        <w:t>and the second approach results in a</w:t>
      </w:r>
      <w:r w:rsidR="002A687F">
        <w:rPr>
          <w:rFonts w:cs="Times New Roman"/>
          <w:szCs w:val="24"/>
        </w:rPr>
        <w:t xml:space="preserve"> model referred to as the</w:t>
      </w:r>
      <w:r w:rsidR="006F6D93">
        <w:rPr>
          <w:rFonts w:cs="Times New Roman"/>
          <w:szCs w:val="24"/>
        </w:rPr>
        <w:t xml:space="preserve"> </w:t>
      </w:r>
      <w:r w:rsidR="002A687F">
        <w:rPr>
          <w:rFonts w:cs="Times New Roman"/>
          <w:szCs w:val="24"/>
        </w:rPr>
        <w:t>P</w:t>
      </w:r>
      <w:r w:rsidR="002A687F" w:rsidRPr="008670BA">
        <w:rPr>
          <w:rFonts w:cs="Times New Roman"/>
          <w:szCs w:val="24"/>
        </w:rPr>
        <w:t>artial</w:t>
      </w:r>
      <w:r w:rsidR="002A687F">
        <w:rPr>
          <w:rFonts w:cs="Times New Roman"/>
          <w:szCs w:val="24"/>
        </w:rPr>
        <w:t xml:space="preserve"> P</w:t>
      </w:r>
      <w:r w:rsidR="002A687F" w:rsidRPr="008670BA">
        <w:rPr>
          <w:rFonts w:cs="Times New Roman"/>
          <w:szCs w:val="24"/>
        </w:rPr>
        <w:t xml:space="preserve">roportional </w:t>
      </w:r>
      <w:r w:rsidR="002A687F">
        <w:rPr>
          <w:rFonts w:cs="Times New Roman"/>
          <w:szCs w:val="24"/>
        </w:rPr>
        <w:t>O</w:t>
      </w:r>
      <w:r w:rsidR="002A687F" w:rsidRPr="008670BA">
        <w:rPr>
          <w:rFonts w:cs="Times New Roman"/>
          <w:szCs w:val="24"/>
        </w:rPr>
        <w:t>dds</w:t>
      </w:r>
      <w:r w:rsidR="002A687F">
        <w:rPr>
          <w:rFonts w:cs="Times New Roman"/>
          <w:szCs w:val="24"/>
        </w:rPr>
        <w:t xml:space="preserve"> </w:t>
      </w:r>
      <w:r w:rsidR="002A687F" w:rsidRPr="008670BA">
        <w:rPr>
          <w:rFonts w:cs="Times New Roman"/>
          <w:szCs w:val="24"/>
        </w:rPr>
        <w:t>model</w:t>
      </w:r>
      <w:r w:rsidR="00DA65EF">
        <w:rPr>
          <w:rFonts w:cs="Times New Roman"/>
          <w:szCs w:val="24"/>
        </w:rPr>
        <w:t xml:space="preserve"> (</w:t>
      </w:r>
      <w:r w:rsidR="00DA65EF">
        <w:rPr>
          <w:rFonts w:cs="Times New Roman"/>
          <w:szCs w:val="24"/>
        </w:rPr>
        <w:fldChar w:fldCharType="begin" w:fldLock="1"/>
      </w:r>
      <w:r w:rsidR="002126A5">
        <w:rPr>
          <w:rFonts w:cs="Times New Roman"/>
          <w:szCs w:val="24"/>
        </w:rPr>
        <w:instrText>ADDIN CSL_CITATION {"citationItems":[{"id":"ITEM-1","itemData":{"author":[{"dropping-particle":"","family":"Peterson","given":"Bercedis","non-dropping-particle":"","parse-names":false,"suffix":""},{"dropping-particle":"","family":"Harrell","given":"Frank E. Jr","non-dropping-particle":"","parse-names":false,"suffix":""}],"container-title":"Wiley for the Royal Statistical Society","id":"ITEM-1","issue":"2","issued":{"date-parts":[["1990"]]},"page":"205-217","title":"Partial Proportional Odds Models for Ordinal Response Variables Author ( s ): Bercedis Peterson , Frank E . Harrell and Jr Published by : Wiley for the Royal Statistical Society Stable URL : https://www.jstor.org/stable/2347760 Partial Proportional Odds M","type":"article-journal","volume":"39"},"uris":["http://www.mendeley.com/documents/?uuid=9a6116a2-1730-4b44-8724-ad6a82eb53f8"]}],"mendeley":{"formattedCitation":"(Peterson and Harrell 1990)","manualFormatting":"Peterson and Harrell 1990","plainTextFormattedCitation":"(Peterson and Harrell 1990)","previouslyFormattedCitation":"(Peterson and Harrell 1990)"},"properties":{"noteIndex":0},"schema":"https://github.com/citation-style-language/schema/raw/master/csl-citation.json"}</w:instrText>
      </w:r>
      <w:r w:rsidR="00DA65EF">
        <w:rPr>
          <w:rFonts w:cs="Times New Roman"/>
          <w:szCs w:val="24"/>
        </w:rPr>
        <w:fldChar w:fldCharType="separate"/>
      </w:r>
      <w:r w:rsidR="00DA65EF" w:rsidRPr="00F826F7">
        <w:rPr>
          <w:rFonts w:cs="Times New Roman"/>
          <w:noProof/>
          <w:szCs w:val="24"/>
        </w:rPr>
        <w:t xml:space="preserve">Peterson </w:t>
      </w:r>
      <w:r w:rsidR="009241A4">
        <w:rPr>
          <w:rFonts w:cs="Times New Roman"/>
          <w:noProof/>
          <w:szCs w:val="24"/>
        </w:rPr>
        <w:t>and</w:t>
      </w:r>
      <w:r w:rsidR="00DA65EF" w:rsidRPr="00F826F7">
        <w:rPr>
          <w:rFonts w:cs="Times New Roman"/>
          <w:noProof/>
          <w:szCs w:val="24"/>
        </w:rPr>
        <w:t xml:space="preserve"> Harrell 1990</w:t>
      </w:r>
      <w:r w:rsidR="00DA65EF">
        <w:rPr>
          <w:rFonts w:cs="Times New Roman"/>
          <w:szCs w:val="24"/>
        </w:rPr>
        <w:fldChar w:fldCharType="end"/>
      </w:r>
      <w:r w:rsidR="00DA65EF">
        <w:rPr>
          <w:rFonts w:cs="Times New Roman"/>
          <w:szCs w:val="24"/>
        </w:rPr>
        <w:t>)</w:t>
      </w:r>
      <w:r w:rsidR="002A687F">
        <w:rPr>
          <w:rFonts w:cs="Times New Roman"/>
          <w:szCs w:val="24"/>
        </w:rPr>
        <w:t xml:space="preserve">. </w:t>
      </w:r>
    </w:p>
    <w:p w14:paraId="25C50C1A" w14:textId="55BB7429" w:rsidR="002A687F" w:rsidRPr="00B33254" w:rsidRDefault="00991DF8" w:rsidP="002A687F">
      <w:pPr>
        <w:jc w:val="both"/>
        <w:rPr>
          <w:rFonts w:cs="Times New Roman"/>
          <w:szCs w:val="24"/>
        </w:rPr>
      </w:pPr>
      <w:r>
        <w:rPr>
          <w:rFonts w:cs="Times New Roman"/>
          <w:szCs w:val="24"/>
        </w:rPr>
        <w:tab/>
      </w:r>
      <w:r w:rsidR="002A687F" w:rsidRPr="003414FF">
        <w:rPr>
          <w:rFonts w:cs="Times New Roman"/>
          <w:szCs w:val="24"/>
        </w:rPr>
        <w:fldChar w:fldCharType="begin" w:fldLock="1"/>
      </w:r>
      <w:r w:rsidR="002126A5">
        <w:rPr>
          <w:rFonts w:cs="Times New Roman"/>
          <w:szCs w:val="24"/>
        </w:rPr>
        <w:instrText>ADDIN CSL_CITATION {"citationItems":[{"id":"ITEM-1","itemData":{"DOI":"10.1016/j.amar.2015.04.002","ISSN":"22136657","abstract":"While there is growing application of generalized ordered outcome model variants (widely known as Generalized Ordered Logit (GOL) model and Partial Proportional Odds Logit (PPO) model) in crash injury severity analysis, there are several aspects of these approaches that are not well documented in extant safety literature. The current research note presents the relationship between these two variants of generalized ordered outcome models and elaborates on model interpretation issues. While these variants arise from different mathematical approaches employed to enhance the traditional ordered outcome model, we establish that these are mathematically identical. We also discuss how one can facilitate estimation and interpretation while building on the ordered outcome model estimates - a useful process for practitioners considering upgrading their existing traditional ordered logit/probit injury severity models. Finally, the note presents the differences within GOL and PPO model frameworks, for accommodating the effect of unobserved heterogeneity, referred to as Mixed Generalized Ordered Logit (MGOL) and Mixed Partial Proportional Odds Logit (MPPO) models while also discussing the computational difficulties that may arise in estimating these models.","author":[{"dropping-particle":"","family":"Eluru","given":"Naveen","non-dropping-particle":"","parse-names":false,"suffix":""},{"dropping-particle":"","family":"Yasmin","given":"Shamsunnahar","non-dropping-particle":"","parse-names":false,"suffix":""}],"container-title":"Analytic Methods in Accident Research","id":"ITEM-1","issued":{"date-parts":[["2015"]]},"page":"1-6","publisher":"Elsevier","title":"A note on generalized ordered outcome models","type":"article-journal","volume":"8"},"uris":["http://www.mendeley.com/documents/?uuid=772cd8b8-68a2-4d05-891c-94e56676a5e3"]}],"mendeley":{"formattedCitation":"(Eluru and Yasmin 2015)","manualFormatting":"Eluru and Yasmin (2015)","plainTextFormattedCitation":"(Eluru and Yasmin 2015)","previouslyFormattedCitation":"(Eluru and Yasmin 2015)"},"properties":{"noteIndex":0},"schema":"https://github.com/citation-style-language/schema/raw/master/csl-citation.json"}</w:instrText>
      </w:r>
      <w:r w:rsidR="002A687F" w:rsidRPr="003414FF">
        <w:rPr>
          <w:rFonts w:cs="Times New Roman"/>
          <w:szCs w:val="24"/>
        </w:rPr>
        <w:fldChar w:fldCharType="separate"/>
      </w:r>
      <w:r w:rsidR="002A687F" w:rsidRPr="003414FF">
        <w:rPr>
          <w:rFonts w:cs="Times New Roman"/>
          <w:noProof/>
          <w:szCs w:val="24"/>
        </w:rPr>
        <w:t xml:space="preserve">Eluru </w:t>
      </w:r>
      <w:r w:rsidR="009241A4">
        <w:rPr>
          <w:rFonts w:cs="Times New Roman"/>
          <w:noProof/>
          <w:szCs w:val="24"/>
        </w:rPr>
        <w:t>and</w:t>
      </w:r>
      <w:r w:rsidR="002A687F" w:rsidRPr="003414FF">
        <w:rPr>
          <w:rFonts w:cs="Times New Roman"/>
          <w:noProof/>
          <w:szCs w:val="24"/>
        </w:rPr>
        <w:t xml:space="preserve"> Yasmin (2015)</w:t>
      </w:r>
      <w:r w:rsidR="002A687F" w:rsidRPr="003414FF">
        <w:rPr>
          <w:rFonts w:cs="Times New Roman"/>
          <w:szCs w:val="24"/>
        </w:rPr>
        <w:fldChar w:fldCharType="end"/>
      </w:r>
      <w:r w:rsidR="002A687F">
        <w:rPr>
          <w:rFonts w:cs="Times New Roman"/>
          <w:szCs w:val="24"/>
        </w:rPr>
        <w:t xml:space="preserve"> established that these two variants are mathematically </w:t>
      </w:r>
      <w:r w:rsidR="00157BBD">
        <w:rPr>
          <w:rFonts w:cs="Times New Roman"/>
          <w:szCs w:val="24"/>
        </w:rPr>
        <w:t>identical</w:t>
      </w:r>
      <w:r w:rsidR="002A687F">
        <w:rPr>
          <w:rFonts w:cs="Times New Roman"/>
          <w:szCs w:val="24"/>
        </w:rPr>
        <w:t xml:space="preserve">. </w:t>
      </w:r>
      <w:r w:rsidR="00945794">
        <w:rPr>
          <w:rFonts w:cs="Times New Roman"/>
          <w:szCs w:val="24"/>
        </w:rPr>
        <w:t xml:space="preserve">Further, they highlight the specific advantages of the generalized ordered response approach for accommodating for the presence of unobserved heterogeneity. </w:t>
      </w:r>
      <w:r w:rsidR="00157BBD">
        <w:rPr>
          <w:rFonts w:cs="Times New Roman"/>
          <w:szCs w:val="24"/>
        </w:rPr>
        <w:t xml:space="preserve">Henceforth, in this </w:t>
      </w:r>
      <w:r w:rsidR="00BB6397">
        <w:rPr>
          <w:rFonts w:cs="Times New Roman"/>
          <w:szCs w:val="24"/>
        </w:rPr>
        <w:t>chapter</w:t>
      </w:r>
      <w:r w:rsidR="00157BBD">
        <w:rPr>
          <w:rFonts w:cs="Times New Roman"/>
          <w:szCs w:val="24"/>
        </w:rPr>
        <w:t xml:space="preserve"> we refer to these models as generalized ordered </w:t>
      </w:r>
      <w:r w:rsidR="009B1F36">
        <w:rPr>
          <w:rFonts w:cs="Times New Roman"/>
          <w:szCs w:val="24"/>
        </w:rPr>
        <w:t xml:space="preserve">response (GOR) </w:t>
      </w:r>
      <w:r w:rsidR="00157BBD">
        <w:rPr>
          <w:rFonts w:cs="Times New Roman"/>
          <w:szCs w:val="24"/>
        </w:rPr>
        <w:t xml:space="preserve">models. </w:t>
      </w:r>
      <w:r w:rsidR="002A687F">
        <w:rPr>
          <w:rFonts w:cs="Times New Roman"/>
          <w:szCs w:val="24"/>
        </w:rPr>
        <w:t xml:space="preserve">In literature, </w:t>
      </w:r>
      <w:r w:rsidR="009B1F36">
        <w:rPr>
          <w:rFonts w:cs="Times New Roman"/>
          <w:szCs w:val="24"/>
        </w:rPr>
        <w:t>GOR</w:t>
      </w:r>
      <w:r w:rsidR="002A687F">
        <w:rPr>
          <w:rFonts w:cs="Times New Roman"/>
          <w:szCs w:val="24"/>
        </w:rPr>
        <w:t xml:space="preserve"> model</w:t>
      </w:r>
      <w:r w:rsidR="00157BBD">
        <w:rPr>
          <w:rFonts w:cs="Times New Roman"/>
          <w:szCs w:val="24"/>
        </w:rPr>
        <w:t>s</w:t>
      </w:r>
      <w:r w:rsidR="002A687F">
        <w:rPr>
          <w:rFonts w:cs="Times New Roman"/>
          <w:szCs w:val="24"/>
        </w:rPr>
        <w:t xml:space="preserve"> ha</w:t>
      </w:r>
      <w:r w:rsidR="00157BBD">
        <w:rPr>
          <w:rFonts w:cs="Times New Roman"/>
          <w:szCs w:val="24"/>
        </w:rPr>
        <w:t>ve</w:t>
      </w:r>
      <w:r w:rsidR="002A687F">
        <w:rPr>
          <w:rFonts w:cs="Times New Roman"/>
          <w:szCs w:val="24"/>
        </w:rPr>
        <w:t xml:space="preserve"> been widely employed for modelling ordered response variables in different domains such </w:t>
      </w:r>
      <w:r w:rsidR="002A687F" w:rsidRPr="00B33254">
        <w:rPr>
          <w:rFonts w:cs="Times New Roman"/>
          <w:szCs w:val="24"/>
        </w:rPr>
        <w:t>as crash severity analysis, transportation demand modelling, social science</w:t>
      </w:r>
      <w:r w:rsidR="00F04829">
        <w:rPr>
          <w:rFonts w:cs="Times New Roman"/>
          <w:szCs w:val="24"/>
        </w:rPr>
        <w:t>,</w:t>
      </w:r>
      <w:r w:rsidR="002A687F" w:rsidRPr="00B33254">
        <w:rPr>
          <w:rFonts w:cs="Times New Roman"/>
          <w:szCs w:val="24"/>
        </w:rPr>
        <w:t xml:space="preserve"> tourism, medical </w:t>
      </w:r>
      <w:r w:rsidR="00F04829" w:rsidRPr="00B33254">
        <w:rPr>
          <w:rFonts w:cs="Times New Roman"/>
          <w:szCs w:val="24"/>
        </w:rPr>
        <w:t>science,</w:t>
      </w:r>
      <w:r w:rsidR="002A687F">
        <w:rPr>
          <w:rFonts w:cs="Times New Roman"/>
          <w:szCs w:val="24"/>
        </w:rPr>
        <w:t xml:space="preserve"> </w:t>
      </w:r>
      <w:r w:rsidR="00AE0B07">
        <w:rPr>
          <w:rFonts w:cs="Times New Roman"/>
          <w:szCs w:val="24"/>
        </w:rPr>
        <w:t>agriculture,</w:t>
      </w:r>
      <w:r w:rsidR="00685ADB">
        <w:rPr>
          <w:rFonts w:cs="Times New Roman"/>
          <w:szCs w:val="24"/>
        </w:rPr>
        <w:t xml:space="preserve"> </w:t>
      </w:r>
      <w:r w:rsidR="002A687F">
        <w:rPr>
          <w:rFonts w:cs="Times New Roman"/>
          <w:szCs w:val="24"/>
        </w:rPr>
        <w:t>and</w:t>
      </w:r>
      <w:r w:rsidR="002A687F" w:rsidRPr="00B33254">
        <w:rPr>
          <w:rFonts w:cs="Times New Roman"/>
          <w:szCs w:val="24"/>
        </w:rPr>
        <w:t xml:space="preserve"> education</w:t>
      </w:r>
      <w:r w:rsidR="00F04829">
        <w:rPr>
          <w:rFonts w:cs="Times New Roman"/>
          <w:szCs w:val="24"/>
        </w:rPr>
        <w:t xml:space="preserve"> (see Section 3 for more details)</w:t>
      </w:r>
      <w:r w:rsidR="002A687F" w:rsidRPr="00B33254">
        <w:rPr>
          <w:rFonts w:cs="Times New Roman"/>
          <w:szCs w:val="24"/>
        </w:rPr>
        <w:t xml:space="preserve">. </w:t>
      </w:r>
    </w:p>
    <w:p w14:paraId="2AF2F7A7" w14:textId="2C3B1A3B" w:rsidR="006F6D93" w:rsidRDefault="008F2071" w:rsidP="00C52F51">
      <w:pPr>
        <w:ind w:firstLine="720"/>
        <w:jc w:val="both"/>
        <w:rPr>
          <w:rFonts w:cs="Times New Roman"/>
          <w:szCs w:val="24"/>
        </w:rPr>
      </w:pPr>
      <w:r>
        <w:rPr>
          <w:rFonts w:cs="Times New Roman"/>
          <w:szCs w:val="24"/>
        </w:rPr>
        <w:lastRenderedPageBreak/>
        <w:t xml:space="preserve">The objective of the current chapter is </w:t>
      </w:r>
      <w:r w:rsidR="00DA65EF">
        <w:rPr>
          <w:rFonts w:cs="Times New Roman"/>
          <w:szCs w:val="24"/>
        </w:rPr>
        <w:t xml:space="preserve">to </w:t>
      </w:r>
      <w:r w:rsidR="00D253FE">
        <w:rPr>
          <w:rFonts w:cs="Times New Roman"/>
          <w:szCs w:val="24"/>
        </w:rPr>
        <w:t xml:space="preserve">offer </w:t>
      </w:r>
      <w:r>
        <w:rPr>
          <w:rFonts w:cs="Times New Roman"/>
          <w:szCs w:val="24"/>
        </w:rPr>
        <w:t xml:space="preserve">the reader a detailed description of the generalized ordered response model </w:t>
      </w:r>
      <w:r w:rsidR="004953A2">
        <w:rPr>
          <w:rFonts w:cs="Times New Roman"/>
          <w:szCs w:val="24"/>
        </w:rPr>
        <w:t>from first principle</w:t>
      </w:r>
      <w:r w:rsidR="009B1F36">
        <w:rPr>
          <w:rFonts w:cs="Times New Roman"/>
          <w:szCs w:val="24"/>
        </w:rPr>
        <w:t>s</w:t>
      </w:r>
      <w:r w:rsidR="004953A2">
        <w:rPr>
          <w:rFonts w:cs="Times New Roman"/>
          <w:szCs w:val="24"/>
        </w:rPr>
        <w:t xml:space="preserve">. </w:t>
      </w:r>
      <w:r w:rsidR="00FE70ED">
        <w:rPr>
          <w:rFonts w:cs="Times New Roman"/>
          <w:szCs w:val="24"/>
        </w:rPr>
        <w:t>An overview of the chapter organization</w:t>
      </w:r>
      <w:r>
        <w:rPr>
          <w:rFonts w:cs="Times New Roman"/>
          <w:szCs w:val="24"/>
        </w:rPr>
        <w:t xml:space="preserve"> follows</w:t>
      </w:r>
      <w:r w:rsidR="004953A2">
        <w:rPr>
          <w:rFonts w:cs="Times New Roman"/>
          <w:szCs w:val="24"/>
        </w:rPr>
        <w:t xml:space="preserve">: </w:t>
      </w:r>
      <w:r w:rsidR="00896AB5">
        <w:rPr>
          <w:rFonts w:cs="Times New Roman"/>
          <w:szCs w:val="24"/>
        </w:rPr>
        <w:t>A</w:t>
      </w:r>
      <w:r w:rsidR="004953A2">
        <w:rPr>
          <w:rFonts w:cs="Times New Roman"/>
          <w:szCs w:val="24"/>
        </w:rPr>
        <w:t xml:space="preserve">n overview of the </w:t>
      </w:r>
      <w:r w:rsidR="009B1F36">
        <w:rPr>
          <w:rFonts w:cs="Times New Roman"/>
          <w:szCs w:val="24"/>
        </w:rPr>
        <w:t xml:space="preserve">different variations of the </w:t>
      </w:r>
      <w:r w:rsidR="004953A2">
        <w:rPr>
          <w:rFonts w:cs="Times New Roman"/>
          <w:szCs w:val="24"/>
        </w:rPr>
        <w:t>ordered response model</w:t>
      </w:r>
      <w:r w:rsidR="009B1F36">
        <w:rPr>
          <w:rFonts w:cs="Times New Roman"/>
          <w:szCs w:val="24"/>
        </w:rPr>
        <w:t xml:space="preserve"> including traditional ordered response model, </w:t>
      </w:r>
      <w:r w:rsidR="0081102B">
        <w:rPr>
          <w:rFonts w:cs="Times New Roman"/>
          <w:szCs w:val="24"/>
        </w:rPr>
        <w:t>GOR</w:t>
      </w:r>
      <w:r w:rsidR="009B1F36">
        <w:rPr>
          <w:rFonts w:cs="Times New Roman"/>
          <w:szCs w:val="24"/>
        </w:rPr>
        <w:t xml:space="preserve"> </w:t>
      </w:r>
      <w:r w:rsidR="004953A2">
        <w:rPr>
          <w:rFonts w:cs="Times New Roman"/>
          <w:szCs w:val="24"/>
        </w:rPr>
        <w:t>model</w:t>
      </w:r>
      <w:r w:rsidR="009B1F36">
        <w:rPr>
          <w:rFonts w:cs="Times New Roman"/>
          <w:szCs w:val="24"/>
        </w:rPr>
        <w:t xml:space="preserve"> and mixed</w:t>
      </w:r>
      <w:r w:rsidR="004953A2">
        <w:rPr>
          <w:rFonts w:cs="Times New Roman"/>
          <w:szCs w:val="24"/>
        </w:rPr>
        <w:t xml:space="preserve"> </w:t>
      </w:r>
      <w:r w:rsidR="0081102B">
        <w:rPr>
          <w:rFonts w:cs="Times New Roman"/>
          <w:szCs w:val="24"/>
        </w:rPr>
        <w:t>GOR</w:t>
      </w:r>
      <w:r w:rsidR="00E948FE">
        <w:rPr>
          <w:rFonts w:cs="Times New Roman"/>
          <w:szCs w:val="24"/>
        </w:rPr>
        <w:t xml:space="preserve"> </w:t>
      </w:r>
      <w:r w:rsidR="009B1F36">
        <w:rPr>
          <w:rFonts w:cs="Times New Roman"/>
          <w:szCs w:val="24"/>
        </w:rPr>
        <w:t xml:space="preserve"> </w:t>
      </w:r>
      <w:r w:rsidR="004953A2">
        <w:rPr>
          <w:rFonts w:cs="Times New Roman"/>
          <w:szCs w:val="24"/>
        </w:rPr>
        <w:t>model</w:t>
      </w:r>
      <w:r w:rsidR="00896AB5">
        <w:rPr>
          <w:rFonts w:cs="Times New Roman"/>
          <w:szCs w:val="24"/>
        </w:rPr>
        <w:t xml:space="preserve"> are presented in Section 2</w:t>
      </w:r>
      <w:r w:rsidR="004953A2">
        <w:rPr>
          <w:rFonts w:cs="Times New Roman"/>
          <w:szCs w:val="24"/>
        </w:rPr>
        <w:t xml:space="preserve">. </w:t>
      </w:r>
      <w:r w:rsidR="009D3282">
        <w:rPr>
          <w:rFonts w:cs="Times New Roman"/>
          <w:szCs w:val="24"/>
        </w:rPr>
        <w:t>Section 3 provides a summary of ordered response framework</w:t>
      </w:r>
      <w:r w:rsidR="00DB784E">
        <w:rPr>
          <w:rFonts w:cs="Times New Roman"/>
          <w:szCs w:val="24"/>
        </w:rPr>
        <w:t xml:space="preserve"> application</w:t>
      </w:r>
      <w:r w:rsidR="00B516F2">
        <w:rPr>
          <w:rFonts w:cs="Times New Roman"/>
          <w:szCs w:val="24"/>
        </w:rPr>
        <w:t>s</w:t>
      </w:r>
      <w:r w:rsidR="009D3282">
        <w:rPr>
          <w:rFonts w:cs="Times New Roman"/>
          <w:szCs w:val="24"/>
        </w:rPr>
        <w:t xml:space="preserve"> </w:t>
      </w:r>
      <w:r w:rsidR="00750099">
        <w:rPr>
          <w:rFonts w:cs="Times New Roman"/>
          <w:szCs w:val="24"/>
        </w:rPr>
        <w:t xml:space="preserve">from </w:t>
      </w:r>
      <w:r w:rsidR="009D3282">
        <w:rPr>
          <w:rFonts w:cs="Times New Roman"/>
          <w:szCs w:val="24"/>
        </w:rPr>
        <w:t xml:space="preserve">various research domains. </w:t>
      </w:r>
      <w:r w:rsidR="009A6489">
        <w:rPr>
          <w:rFonts w:cs="Times New Roman"/>
          <w:szCs w:val="24"/>
        </w:rPr>
        <w:t xml:space="preserve">Section </w:t>
      </w:r>
      <w:r w:rsidR="009D3282">
        <w:rPr>
          <w:rFonts w:cs="Times New Roman"/>
          <w:szCs w:val="24"/>
        </w:rPr>
        <w:t>4</w:t>
      </w:r>
      <w:r w:rsidR="009A6489">
        <w:rPr>
          <w:rFonts w:cs="Times New Roman"/>
          <w:szCs w:val="24"/>
        </w:rPr>
        <w:t xml:space="preserve"> provides a real-world application of the generalized ordered model system. Finally, </w:t>
      </w:r>
      <w:r w:rsidR="0050034A">
        <w:rPr>
          <w:rFonts w:cs="Times New Roman"/>
          <w:szCs w:val="24"/>
        </w:rPr>
        <w:t>S</w:t>
      </w:r>
      <w:r w:rsidR="009A6489">
        <w:rPr>
          <w:rFonts w:cs="Times New Roman"/>
          <w:szCs w:val="24"/>
        </w:rPr>
        <w:t xml:space="preserve">ection </w:t>
      </w:r>
      <w:r w:rsidR="009D3282">
        <w:rPr>
          <w:rFonts w:cs="Times New Roman"/>
          <w:szCs w:val="24"/>
        </w:rPr>
        <w:t>5</w:t>
      </w:r>
      <w:r w:rsidR="009A6489">
        <w:rPr>
          <w:rFonts w:cs="Times New Roman"/>
          <w:szCs w:val="24"/>
        </w:rPr>
        <w:t xml:space="preserve"> concludes the chapter. </w:t>
      </w:r>
    </w:p>
    <w:p w14:paraId="7A2E51CE" w14:textId="77777777" w:rsidR="00F04829" w:rsidRDefault="00F04829" w:rsidP="00B33254">
      <w:pPr>
        <w:jc w:val="both"/>
        <w:rPr>
          <w:rFonts w:cs="Times New Roman"/>
          <w:szCs w:val="24"/>
        </w:rPr>
      </w:pPr>
    </w:p>
    <w:p w14:paraId="6EB85E6B" w14:textId="28CE9800" w:rsidR="004F523A" w:rsidRDefault="00404C11" w:rsidP="004F523A">
      <w:pPr>
        <w:pStyle w:val="Heading1"/>
      </w:pPr>
      <w:r>
        <w:t xml:space="preserve">Mathematical Formulation of </w:t>
      </w:r>
      <w:r w:rsidR="004F523A">
        <w:t xml:space="preserve">Ordered </w:t>
      </w:r>
      <w:r w:rsidR="009E632F">
        <w:t xml:space="preserve">Response </w:t>
      </w:r>
      <w:r w:rsidR="004F523A">
        <w:t>Model</w:t>
      </w:r>
      <w:r>
        <w:t>s</w:t>
      </w:r>
    </w:p>
    <w:p w14:paraId="223B927B" w14:textId="2258B55E" w:rsidR="00223B52" w:rsidRPr="00223B52" w:rsidRDefault="00223B52" w:rsidP="0070677E">
      <w:pPr>
        <w:jc w:val="both"/>
      </w:pPr>
      <w:r>
        <w:t>In this section, we present</w:t>
      </w:r>
      <w:r w:rsidR="006121E4">
        <w:t xml:space="preserve"> detailed mathematical formulations for traditional OR model and its advanced variants including GOR model and Mixed GOR model. In OR model, probabilities of ordered categories are estimated by partitioning a continuous latent propensity using a set of fixed thresholds. In GOR model, thresholds are parametrized to allow them to vary across observations. Finally, </w:t>
      </w:r>
      <w:r w:rsidR="0070677E">
        <w:t xml:space="preserve">Mixed GOR model is formulated to </w:t>
      </w:r>
      <w:r w:rsidR="00E948FE">
        <w:t xml:space="preserve">accommodate </w:t>
      </w:r>
      <w:r w:rsidR="0070677E">
        <w:t xml:space="preserve">for the </w:t>
      </w:r>
      <w:r w:rsidR="00E948FE">
        <w:t xml:space="preserve">potential influence </w:t>
      </w:r>
      <w:r w:rsidR="0070677E">
        <w:t xml:space="preserve">of unobserved factors </w:t>
      </w:r>
      <w:r w:rsidR="00E948FE">
        <w:t xml:space="preserve">on </w:t>
      </w:r>
      <w:r w:rsidR="00BD27CA">
        <w:t xml:space="preserve">the </w:t>
      </w:r>
      <w:r w:rsidR="0070677E">
        <w:t xml:space="preserve">dependent variable. </w:t>
      </w:r>
      <w:r w:rsidR="006121E4">
        <w:t xml:space="preserve">   </w:t>
      </w:r>
      <w:r>
        <w:t xml:space="preserve"> </w:t>
      </w:r>
    </w:p>
    <w:p w14:paraId="02DEF0FF" w14:textId="556695DA" w:rsidR="00404C11" w:rsidRPr="00C70CC5" w:rsidRDefault="00404C11" w:rsidP="0091122B">
      <w:pPr>
        <w:pStyle w:val="Heading2"/>
      </w:pPr>
      <w:r w:rsidRPr="00404C11">
        <w:t>Traditional</w:t>
      </w:r>
      <w:r w:rsidRPr="00806794">
        <w:t xml:space="preserve"> Ordered Response</w:t>
      </w:r>
      <w:r w:rsidRPr="00C70CC5">
        <w:t xml:space="preserve"> Model</w:t>
      </w:r>
    </w:p>
    <w:p w14:paraId="4E0E9C94" w14:textId="450F2839" w:rsidR="004F523A" w:rsidRDefault="004F523A" w:rsidP="00642E99">
      <w:pPr>
        <w:jc w:val="both"/>
        <w:rPr>
          <w:szCs w:val="24"/>
        </w:rPr>
      </w:pPr>
      <w:r>
        <w:t xml:space="preserve">Let </w:t>
      </w:r>
      <m:oMath>
        <m:r>
          <w:rPr>
            <w:rFonts w:ascii="Cambria Math"/>
            <w:szCs w:val="24"/>
          </w:rPr>
          <m:t>i (i=1,2,</m:t>
        </m:r>
        <m:r>
          <w:rPr>
            <w:rFonts w:ascii="Cambria Math"/>
            <w:szCs w:val="24"/>
          </w:rPr>
          <m:t>………</m:t>
        </m:r>
        <m:r>
          <w:rPr>
            <w:rFonts w:ascii="Cambria Math"/>
            <w:szCs w:val="24"/>
          </w:rPr>
          <m:t>,N)</m:t>
        </m:r>
      </m:oMath>
      <w:r>
        <w:rPr>
          <w:i/>
          <w:szCs w:val="24"/>
        </w:rPr>
        <w:t xml:space="preserve"> </w:t>
      </w:r>
      <w:r>
        <w:rPr>
          <w:szCs w:val="24"/>
        </w:rPr>
        <w:t xml:space="preserve">and </w:t>
      </w:r>
      <m:oMath>
        <m:r>
          <w:rPr>
            <w:rFonts w:ascii="Cambria Math"/>
            <w:szCs w:val="24"/>
          </w:rPr>
          <m:t>j (j=1,2,</m:t>
        </m:r>
        <m:r>
          <w:rPr>
            <w:rFonts w:ascii="Cambria Math"/>
            <w:szCs w:val="24"/>
          </w:rPr>
          <m:t>………</m:t>
        </m:r>
        <m:r>
          <w:rPr>
            <w:rFonts w:ascii="Cambria Math"/>
            <w:szCs w:val="24"/>
          </w:rPr>
          <m:t>,J</m:t>
        </m:r>
      </m:oMath>
      <w:r>
        <w:rPr>
          <w:szCs w:val="24"/>
        </w:rPr>
        <w:t xml:space="preserve">) </w:t>
      </w:r>
      <w:r w:rsidR="00EF7107">
        <w:rPr>
          <w:szCs w:val="24"/>
        </w:rPr>
        <w:t xml:space="preserve">be </w:t>
      </w:r>
      <w:r w:rsidR="00AA1BD1">
        <w:rPr>
          <w:szCs w:val="24"/>
        </w:rPr>
        <w:t xml:space="preserve">indices to </w:t>
      </w:r>
      <w:r>
        <w:rPr>
          <w:szCs w:val="24"/>
        </w:rPr>
        <w:t xml:space="preserve">denote </w:t>
      </w:r>
      <w:r w:rsidR="00EF7107">
        <w:rPr>
          <w:szCs w:val="24"/>
        </w:rPr>
        <w:t xml:space="preserve">the </w:t>
      </w:r>
      <w:r w:rsidR="00AA1BD1">
        <w:rPr>
          <w:szCs w:val="24"/>
        </w:rPr>
        <w:t xml:space="preserve">observation and the </w:t>
      </w:r>
      <w:r>
        <w:rPr>
          <w:szCs w:val="24"/>
        </w:rPr>
        <w:t xml:space="preserve">different levels of </w:t>
      </w:r>
      <w:r w:rsidR="00951831">
        <w:rPr>
          <w:szCs w:val="24"/>
        </w:rPr>
        <w:t xml:space="preserve">an </w:t>
      </w:r>
      <w:r>
        <w:rPr>
          <w:szCs w:val="24"/>
        </w:rPr>
        <w:t>ordinal dependent variable</w:t>
      </w:r>
      <w:r w:rsidR="00AA1BD1">
        <w:rPr>
          <w:szCs w:val="24"/>
        </w:rPr>
        <w:t xml:space="preserve"> respectively</w:t>
      </w:r>
      <w:r>
        <w:rPr>
          <w:szCs w:val="24"/>
        </w:rPr>
        <w:t xml:space="preserve">. </w:t>
      </w:r>
      <w:r w:rsidR="002F5BE3">
        <w:rPr>
          <w:szCs w:val="24"/>
        </w:rPr>
        <w:t>The observation specific</w:t>
      </w:r>
      <w:r w:rsidR="003A0D88">
        <w:rPr>
          <w:szCs w:val="24"/>
        </w:rPr>
        <w:t xml:space="preserve"> dependent variable</w:t>
      </w:r>
      <w:r w:rsidR="0066618D">
        <w:rPr>
          <w:szCs w:val="24"/>
        </w:rPr>
        <w:t xml:space="preserve"> </w:t>
      </w:r>
      <m:oMath>
        <m:sSub>
          <m:sSubPr>
            <m:ctrlPr>
              <w:rPr>
                <w:rFonts w:ascii="Cambria Math" w:hAnsi="Cambria Math"/>
                <w:szCs w:val="24"/>
              </w:rPr>
            </m:ctrlPr>
          </m:sSubPr>
          <m:e>
            <m:r>
              <w:rPr>
                <w:rFonts w:ascii="Cambria Math" w:hAnsi="Cambria Math"/>
                <w:szCs w:val="24"/>
              </w:rPr>
              <m:t>y</m:t>
            </m:r>
          </m:e>
          <m:sub>
            <m:r>
              <w:rPr>
                <w:rFonts w:ascii="Cambria Math" w:hAnsi="Cambria Math"/>
                <w:szCs w:val="24"/>
              </w:rPr>
              <m:t>i</m:t>
            </m:r>
          </m:sub>
        </m:sSub>
      </m:oMath>
      <w:r>
        <w:rPr>
          <w:szCs w:val="24"/>
        </w:rPr>
        <w:t xml:space="preserve"> </w:t>
      </w:r>
      <w:r w:rsidR="0066618D">
        <w:rPr>
          <w:szCs w:val="24"/>
        </w:rPr>
        <w:t xml:space="preserve">is </w:t>
      </w:r>
      <w:r w:rsidR="00F06412">
        <w:rPr>
          <w:szCs w:val="24"/>
        </w:rPr>
        <w:t xml:space="preserve">postulated </w:t>
      </w:r>
      <w:r>
        <w:rPr>
          <w:szCs w:val="24"/>
        </w:rPr>
        <w:t xml:space="preserve">to be </w:t>
      </w:r>
      <w:r w:rsidR="00F06412">
        <w:rPr>
          <w:szCs w:val="24"/>
        </w:rPr>
        <w:t>linked</w:t>
      </w:r>
      <w:r>
        <w:rPr>
          <w:szCs w:val="24"/>
        </w:rPr>
        <w:t xml:space="preserve"> with an underlying continuous latent </w:t>
      </w:r>
      <w:r w:rsidR="00F06412">
        <w:rPr>
          <w:szCs w:val="24"/>
        </w:rPr>
        <w:t xml:space="preserve">propensity </w:t>
      </w:r>
      <w:r>
        <w:rPr>
          <w:szCs w:val="24"/>
        </w:rPr>
        <w:t xml:space="preserve">variable </w:t>
      </w:r>
      <m:oMath>
        <m:sSubSup>
          <m:sSubSupPr>
            <m:ctrlPr>
              <w:rPr>
                <w:rFonts w:ascii="Cambria Math" w:hAnsi="Cambria Math"/>
                <w:szCs w:val="24"/>
              </w:rPr>
            </m:ctrlPr>
          </m:sSubSupPr>
          <m:e>
            <m:r>
              <w:rPr>
                <w:rFonts w:ascii="Cambria Math" w:hAnsi="Cambria Math"/>
                <w:szCs w:val="24"/>
              </w:rPr>
              <m:t>y</m:t>
            </m:r>
          </m:e>
          <m:sub>
            <m:r>
              <w:rPr>
                <w:rFonts w:ascii="Cambria Math" w:hAnsi="Cambria Math"/>
                <w:szCs w:val="24"/>
              </w:rPr>
              <m:t>i</m:t>
            </m:r>
          </m:sub>
          <m:sup>
            <m:r>
              <m:rPr>
                <m:sty m:val="p"/>
              </m:rPr>
              <w:rPr>
                <w:rFonts w:ascii="Cambria Math" w:hAnsi="Cambria Math"/>
                <w:szCs w:val="24"/>
              </w:rPr>
              <m:t>*</m:t>
            </m:r>
          </m:sup>
        </m:sSubSup>
      </m:oMath>
      <w:r>
        <w:rPr>
          <w:szCs w:val="24"/>
        </w:rPr>
        <w:t xml:space="preserve">. This variable is </w:t>
      </w:r>
      <w:r w:rsidR="00F06412">
        <w:rPr>
          <w:szCs w:val="24"/>
        </w:rPr>
        <w:t xml:space="preserve">parameterized </w:t>
      </w:r>
      <w:r>
        <w:rPr>
          <w:szCs w:val="24"/>
        </w:rPr>
        <w:t>as a linear function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2"/>
        <w:gridCol w:w="1168"/>
      </w:tblGrid>
      <w:tr w:rsidR="004F523A" w14:paraId="7AC9D118" w14:textId="77777777" w:rsidTr="00C06220">
        <w:tc>
          <w:tcPr>
            <w:tcW w:w="8388" w:type="dxa"/>
          </w:tcPr>
          <w:p w14:paraId="78F1D8B0" w14:textId="736BBC26" w:rsidR="004F523A" w:rsidRDefault="006633EA" w:rsidP="00642E99">
            <w:pPr>
              <w:spacing w:before="240"/>
              <w:rPr>
                <w:szCs w:val="24"/>
              </w:rPr>
            </w:pPr>
            <m:oMath>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r>
                <w:rPr>
                  <w:rFonts w:ascii="Cambria Math"/>
                  <w:szCs w:val="24"/>
                </w:rPr>
                <m:t>=</m:t>
              </m:r>
              <m:sSub>
                <m:sSubPr>
                  <m:ctrlPr>
                    <w:rPr>
                      <w:rFonts w:ascii="Cambria Math" w:hAnsi="Cambria Math"/>
                      <w:i/>
                      <w:szCs w:val="24"/>
                    </w:rPr>
                  </m:ctrlPr>
                </m:sSubPr>
                <m:e>
                  <m:r>
                    <w:rPr>
                      <w:rFonts w:ascii="Cambria Math" w:hAnsi="Cambria Math"/>
                      <w:szCs w:val="24"/>
                    </w:rPr>
                    <m:t>X</m:t>
                  </m:r>
                </m:e>
                <m:sub>
                  <m:r>
                    <w:rPr>
                      <w:rFonts w:ascii="Cambria Math"/>
                      <w:szCs w:val="24"/>
                    </w:rPr>
                    <m:t>i</m:t>
                  </m:r>
                </m:sub>
              </m:sSub>
              <m:r>
                <w:rPr>
                  <w:rFonts w:ascii="Cambria Math"/>
                  <w:szCs w:val="24"/>
                </w:rPr>
                <m:t>β</m:t>
              </m:r>
              <m:r>
                <w:rPr>
                  <w:rFonts w:ascii="Cambria Math"/>
                  <w:szCs w:val="24"/>
                </w:rPr>
                <m:t>+</m:t>
              </m:r>
              <m:sSub>
                <m:sSubPr>
                  <m:ctrlPr>
                    <w:rPr>
                      <w:rFonts w:ascii="Cambria Math" w:hAnsi="Cambria Math"/>
                      <w:i/>
                      <w:szCs w:val="24"/>
                    </w:rPr>
                  </m:ctrlPr>
                </m:sSubPr>
                <m:e>
                  <m:r>
                    <w:rPr>
                      <w:rFonts w:ascii="Cambria Math"/>
                      <w:szCs w:val="24"/>
                    </w:rPr>
                    <m:t>ε</m:t>
                  </m:r>
                </m:e>
                <m:sub>
                  <m:r>
                    <w:rPr>
                      <w:rFonts w:ascii="Cambria Math"/>
                      <w:szCs w:val="24"/>
                    </w:rPr>
                    <m:t>i</m:t>
                  </m:r>
                </m:sub>
              </m:sSub>
            </m:oMath>
            <w:r w:rsidR="00642E99">
              <w:rPr>
                <w:i/>
                <w:szCs w:val="24"/>
              </w:rPr>
              <w:t xml:space="preserve">, for </w:t>
            </w:r>
            <m:oMath>
              <m:r>
                <w:rPr>
                  <w:rFonts w:ascii="Cambria Math"/>
                  <w:szCs w:val="24"/>
                </w:rPr>
                <m:t>i</m:t>
              </m:r>
              <m:r>
                <w:rPr>
                  <w:rFonts w:ascii="Cambria Math"/>
                  <w:szCs w:val="24"/>
                </w:rPr>
                <m:t>=1, 2,</m:t>
              </m:r>
              <m:r>
                <w:rPr>
                  <w:rFonts w:ascii="Cambria Math"/>
                  <w:szCs w:val="24"/>
                </w:rPr>
                <m:t>………</m:t>
              </m:r>
              <m:r>
                <w:rPr>
                  <w:rFonts w:ascii="Cambria Math"/>
                  <w:szCs w:val="24"/>
                </w:rPr>
                <m:t xml:space="preserve">, </m:t>
              </m:r>
            </m:oMath>
            <w:r w:rsidR="00642E99">
              <w:rPr>
                <w:i/>
                <w:szCs w:val="24"/>
              </w:rPr>
              <w:t>N</w:t>
            </w:r>
          </w:p>
        </w:tc>
        <w:tc>
          <w:tcPr>
            <w:tcW w:w="1188" w:type="dxa"/>
            <w:vAlign w:val="center"/>
          </w:tcPr>
          <w:p w14:paraId="7112D6DD" w14:textId="6342D92B" w:rsidR="004F523A" w:rsidRDefault="00642E99" w:rsidP="00C06220">
            <w:pPr>
              <w:spacing w:before="240"/>
              <w:jc w:val="right"/>
              <w:rPr>
                <w:szCs w:val="24"/>
              </w:rPr>
            </w:pPr>
            <w:r>
              <w:rPr>
                <w:szCs w:val="24"/>
              </w:rPr>
              <w:t>(1)</w:t>
            </w:r>
          </w:p>
        </w:tc>
      </w:tr>
    </w:tbl>
    <w:p w14:paraId="763053CB" w14:textId="0445BCEA" w:rsidR="004F523A" w:rsidRDefault="004F523A" w:rsidP="004F523A">
      <w:pPr>
        <w:rPr>
          <w:szCs w:val="24"/>
        </w:rPr>
      </w:pPr>
      <w:r>
        <w:rPr>
          <w:szCs w:val="24"/>
        </w:rPr>
        <w:t xml:space="preserve">   </w:t>
      </w:r>
    </w:p>
    <w:p w14:paraId="4A8C7364" w14:textId="090FF913" w:rsidR="00642E99" w:rsidRDefault="00642E99" w:rsidP="00C52F51">
      <w:pPr>
        <w:ind w:firstLine="720"/>
        <w:jc w:val="both"/>
        <w:rPr>
          <w:szCs w:val="24"/>
        </w:rPr>
      </w:pPr>
      <w:r>
        <w:rPr>
          <w:szCs w:val="24"/>
        </w:rPr>
        <w:t xml:space="preserve">Where, </w:t>
      </w:r>
      <m:oMath>
        <m:sSub>
          <m:sSubPr>
            <m:ctrlPr>
              <w:rPr>
                <w:rFonts w:ascii="Cambria Math" w:hAnsi="Cambria Math"/>
                <w:szCs w:val="24"/>
                <w:lang w:val="en-CA"/>
              </w:rPr>
            </m:ctrlPr>
          </m:sSubPr>
          <m:e>
            <m:r>
              <w:rPr>
                <w:rFonts w:ascii="Cambria Math" w:hAnsi="Cambria Math"/>
                <w:szCs w:val="24"/>
              </w:rPr>
              <m:t>X</m:t>
            </m:r>
          </m:e>
          <m:sub>
            <m:r>
              <m:rPr>
                <m:sty m:val="p"/>
              </m:rPr>
              <w:rPr>
                <w:rFonts w:ascii="Cambria Math"/>
                <w:szCs w:val="24"/>
              </w:rPr>
              <m:t>i</m:t>
            </m:r>
          </m:sub>
        </m:sSub>
      </m:oMath>
      <w:r w:rsidRPr="00E27CE1">
        <w:rPr>
          <w:szCs w:val="24"/>
        </w:rPr>
        <w:t xml:space="preserve"> is a vector of variables (excluding a constant)</w:t>
      </w:r>
      <w:r w:rsidR="00951831">
        <w:rPr>
          <w:szCs w:val="24"/>
        </w:rPr>
        <w:t>,</w:t>
      </w:r>
      <w:r w:rsidRPr="00E27CE1">
        <w:rPr>
          <w:szCs w:val="24"/>
        </w:rPr>
        <w:t xml:space="preserve"> </w:t>
      </w:r>
      <m:oMath>
        <m:r>
          <w:rPr>
            <w:rFonts w:ascii="Cambria Math"/>
            <w:szCs w:val="24"/>
          </w:rPr>
          <m:t>β</m:t>
        </m:r>
      </m:oMath>
      <w:r w:rsidRPr="00E27CE1">
        <w:rPr>
          <w:szCs w:val="24"/>
        </w:rPr>
        <w:t xml:space="preserve"> is</w:t>
      </w:r>
      <w:r>
        <w:rPr>
          <w:szCs w:val="24"/>
        </w:rPr>
        <w:t xml:space="preserve"> a vector of unknown parameters</w:t>
      </w:r>
      <w:r w:rsidR="005245D2">
        <w:rPr>
          <w:szCs w:val="24"/>
        </w:rPr>
        <w:t>/coefficients</w:t>
      </w:r>
      <w:r>
        <w:rPr>
          <w:szCs w:val="24"/>
        </w:rPr>
        <w:t xml:space="preserve"> to be estimated</w:t>
      </w:r>
      <w:r w:rsidR="00951831">
        <w:rPr>
          <w:szCs w:val="24"/>
        </w:rPr>
        <w:t xml:space="preserve"> and</w:t>
      </w:r>
      <w:r>
        <w:rPr>
          <w:szCs w:val="24"/>
        </w:rPr>
        <w:t xml:space="preserve"> </w:t>
      </w:r>
      <m:oMath>
        <m:sSub>
          <m:sSubPr>
            <m:ctrlPr>
              <w:rPr>
                <w:rFonts w:ascii="Cambria Math" w:hAnsi="Cambria Math"/>
                <w:i/>
                <w:szCs w:val="24"/>
              </w:rPr>
            </m:ctrlPr>
          </m:sSubPr>
          <m:e>
            <m:r>
              <w:rPr>
                <w:rFonts w:ascii="Cambria Math"/>
                <w:szCs w:val="24"/>
              </w:rPr>
              <m:t>ε</m:t>
            </m:r>
          </m:e>
          <m:sub>
            <m:r>
              <w:rPr>
                <w:rFonts w:ascii="Cambria Math"/>
                <w:szCs w:val="24"/>
              </w:rPr>
              <m:t>i</m:t>
            </m:r>
          </m:sub>
        </m:sSub>
      </m:oMath>
      <w:r>
        <w:rPr>
          <w:rFonts w:eastAsiaTheme="minorEastAsia"/>
          <w:szCs w:val="24"/>
        </w:rPr>
        <w:t xml:space="preserve"> </w:t>
      </w:r>
      <w:r w:rsidR="00951831">
        <w:rPr>
          <w:rFonts w:eastAsiaTheme="minorEastAsia"/>
          <w:szCs w:val="24"/>
        </w:rPr>
        <w:t xml:space="preserve">is </w:t>
      </w:r>
      <w:r w:rsidR="001B4C45" w:rsidRPr="001B4C45">
        <w:rPr>
          <w:rFonts w:eastAsiaTheme="minorEastAsia"/>
          <w:szCs w:val="24"/>
        </w:rPr>
        <w:t>an idiosyncratic error term</w:t>
      </w:r>
      <w:r w:rsidR="00AC2ECB">
        <w:rPr>
          <w:rFonts w:eastAsiaTheme="minorEastAsia"/>
          <w:szCs w:val="24"/>
        </w:rPr>
        <w:t>.</w:t>
      </w:r>
      <w:r w:rsidR="001B4C45" w:rsidRPr="001B4C45">
        <w:rPr>
          <w:rFonts w:eastAsiaTheme="minorEastAsia"/>
          <w:szCs w:val="24"/>
        </w:rPr>
        <w:t xml:space="preserve"> </w:t>
      </w:r>
      <w:r w:rsidR="009E632F">
        <w:rPr>
          <w:rFonts w:eastAsiaTheme="minorEastAsia"/>
          <w:szCs w:val="24"/>
        </w:rPr>
        <w:t>The exact formulation of the model is determined based on the distribution of the err</w:t>
      </w:r>
      <w:r w:rsidR="0066618D">
        <w:rPr>
          <w:rFonts w:eastAsiaTheme="minorEastAsia"/>
          <w:szCs w:val="24"/>
        </w:rPr>
        <w:t>o</w:t>
      </w:r>
      <w:r w:rsidR="009E632F">
        <w:rPr>
          <w:rFonts w:eastAsiaTheme="minorEastAsia"/>
          <w:szCs w:val="24"/>
        </w:rPr>
        <w:t xml:space="preserve">r term.  If </w:t>
      </w:r>
      <m:oMath>
        <m:sSub>
          <m:sSubPr>
            <m:ctrlPr>
              <w:rPr>
                <w:rFonts w:ascii="Cambria Math" w:hAnsi="Cambria Math"/>
                <w:i/>
                <w:szCs w:val="24"/>
              </w:rPr>
            </m:ctrlPr>
          </m:sSubPr>
          <m:e>
            <m:r>
              <w:rPr>
                <w:rFonts w:ascii="Cambria Math"/>
                <w:szCs w:val="24"/>
              </w:rPr>
              <m:t>ε</m:t>
            </m:r>
          </m:e>
          <m:sub>
            <m:r>
              <w:rPr>
                <w:rFonts w:ascii="Cambria Math"/>
                <w:szCs w:val="24"/>
              </w:rPr>
              <m:t>i</m:t>
            </m:r>
          </m:sub>
        </m:sSub>
      </m:oMath>
      <w:r w:rsidR="009E632F">
        <w:rPr>
          <w:rFonts w:eastAsiaTheme="minorEastAsia"/>
          <w:szCs w:val="24"/>
        </w:rPr>
        <w:t xml:space="preserve"> is </w:t>
      </w:r>
      <w:r w:rsidR="001B4C45" w:rsidRPr="001B4C45">
        <w:rPr>
          <w:rFonts w:eastAsiaTheme="minorEastAsia"/>
          <w:szCs w:val="24"/>
        </w:rPr>
        <w:t>assumed to be identically and independently standard logistic</w:t>
      </w:r>
      <w:r w:rsidR="009E632F">
        <w:rPr>
          <w:rFonts w:eastAsiaTheme="minorEastAsia"/>
          <w:szCs w:val="24"/>
        </w:rPr>
        <w:t xml:space="preserve"> (normal)</w:t>
      </w:r>
      <w:r w:rsidR="001B4C45" w:rsidRPr="001B4C45">
        <w:rPr>
          <w:rFonts w:eastAsiaTheme="minorEastAsia"/>
          <w:szCs w:val="24"/>
        </w:rPr>
        <w:t xml:space="preserve"> distributed across</w:t>
      </w:r>
      <w:r w:rsidR="001B4C45">
        <w:rPr>
          <w:rFonts w:eastAsiaTheme="minorEastAsia"/>
          <w:szCs w:val="24"/>
        </w:rPr>
        <w:t xml:space="preserve"> observation </w:t>
      </w:r>
      <m:oMath>
        <m:r>
          <w:rPr>
            <w:rFonts w:ascii="Cambria Math"/>
            <w:szCs w:val="24"/>
          </w:rPr>
          <m:t>i,</m:t>
        </m:r>
      </m:oMath>
      <w:r w:rsidR="009E632F">
        <w:rPr>
          <w:rFonts w:eastAsiaTheme="minorEastAsia"/>
          <w:szCs w:val="24"/>
        </w:rPr>
        <w:t xml:space="preserve"> then the model will </w:t>
      </w:r>
      <w:r w:rsidR="003C327B">
        <w:rPr>
          <w:rFonts w:eastAsiaTheme="minorEastAsia"/>
          <w:szCs w:val="24"/>
        </w:rPr>
        <w:t>result in ordered logit (probit) model</w:t>
      </w:r>
      <w:r>
        <w:rPr>
          <w:rFonts w:eastAsiaTheme="minorEastAsia"/>
          <w:szCs w:val="24"/>
        </w:rPr>
        <w:t xml:space="preserve">. The continuous latent variable, </w:t>
      </w:r>
      <m:oMath>
        <m:sSubSup>
          <m:sSubSupPr>
            <m:ctrlPr>
              <w:rPr>
                <w:rFonts w:ascii="Cambria Math" w:hAnsi="Cambria Math"/>
                <w:szCs w:val="24"/>
              </w:rPr>
            </m:ctrlPr>
          </m:sSubSupPr>
          <m:e>
            <m:r>
              <w:rPr>
                <w:rFonts w:ascii="Cambria Math" w:hAnsi="Cambria Math"/>
                <w:szCs w:val="24"/>
              </w:rPr>
              <m:t>y</m:t>
            </m:r>
          </m:e>
          <m:sub>
            <m:r>
              <w:rPr>
                <w:rFonts w:ascii="Cambria Math" w:hAnsi="Cambria Math"/>
                <w:szCs w:val="24"/>
              </w:rPr>
              <m:t>i</m:t>
            </m:r>
          </m:sub>
          <m:sup>
            <m:r>
              <m:rPr>
                <m:sty m:val="p"/>
              </m:rPr>
              <w:rPr>
                <w:rFonts w:ascii="Cambria Math" w:hAnsi="Cambria Math"/>
                <w:szCs w:val="24"/>
              </w:rPr>
              <m:t>*</m:t>
            </m:r>
          </m:sup>
        </m:sSubSup>
      </m:oMath>
      <w:r>
        <w:rPr>
          <w:rFonts w:eastAsiaTheme="minorEastAsia"/>
          <w:szCs w:val="24"/>
        </w:rPr>
        <w:t xml:space="preserve"> is mapped to </w:t>
      </w:r>
      <w:r w:rsidR="00951831">
        <w:rPr>
          <w:rFonts w:eastAsiaTheme="minorEastAsia"/>
          <w:szCs w:val="24"/>
        </w:rPr>
        <w:t xml:space="preserve">actual </w:t>
      </w:r>
      <w:r>
        <w:rPr>
          <w:rFonts w:eastAsiaTheme="minorEastAsia"/>
          <w:szCs w:val="24"/>
        </w:rPr>
        <w:t xml:space="preserve">ordered categories </w:t>
      </w:r>
      <m:oMath>
        <m:sSub>
          <m:sSubPr>
            <m:ctrlPr>
              <w:rPr>
                <w:rFonts w:ascii="Cambria Math" w:hAnsi="Cambria Math"/>
                <w:szCs w:val="24"/>
              </w:rPr>
            </m:ctrlPr>
          </m:sSubPr>
          <m:e>
            <m:r>
              <w:rPr>
                <w:rFonts w:ascii="Cambria Math" w:hAnsi="Cambria Math"/>
                <w:szCs w:val="24"/>
              </w:rPr>
              <m:t>y</m:t>
            </m:r>
          </m:e>
          <m:sub>
            <m:r>
              <w:rPr>
                <w:rFonts w:ascii="Cambria Math" w:hAnsi="Cambria Math"/>
                <w:szCs w:val="24"/>
              </w:rPr>
              <m:t>i</m:t>
            </m:r>
          </m:sub>
        </m:sSub>
      </m:oMath>
      <w:r w:rsidR="00AC1E38">
        <w:rPr>
          <w:rFonts w:eastAsiaTheme="minorEastAsia"/>
          <w:szCs w:val="24"/>
        </w:rPr>
        <w:t xml:space="preserve"> </w:t>
      </w:r>
      <w:r>
        <w:rPr>
          <w:rFonts w:eastAsiaTheme="minorEastAsia"/>
          <w:szCs w:val="24"/>
        </w:rPr>
        <w:t xml:space="preserve">using a set of fixed thresholds, </w:t>
      </w:r>
      <m:oMath>
        <m:r>
          <w:rPr>
            <w:rFonts w:ascii="Cambria Math" w:hAnsi="Cambria Math"/>
            <w:szCs w:val="24"/>
          </w:rPr>
          <m:t>τ</m:t>
        </m:r>
      </m:oMath>
      <w:r w:rsidR="00E360F0">
        <w:t xml:space="preserve"> (</w:t>
      </w:r>
      <m:oMath>
        <m:r>
          <m:rPr>
            <m:sty m:val="p"/>
          </m:rPr>
          <w:rPr>
            <w:rFonts w:ascii="Cambria Math" w:hAnsi="Cambria Math"/>
          </w:rPr>
          <m:t>-∞</m:t>
        </m:r>
        <m:r>
          <m:rPr>
            <m:sty m:val="p"/>
          </m:rPr>
          <w:rPr>
            <w:rFonts w:ascii="Cambria Math"/>
          </w:rPr>
          <m:t>&lt;</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1</m:t>
            </m:r>
          </m:sub>
        </m:sSub>
        <m:r>
          <w:rPr>
            <w:rFonts w:ascii="Cambria Math" w:hAnsi="Cambria Math"/>
            <w:szCs w:val="24"/>
          </w:rPr>
          <m:t xml:space="preserve">&lt; </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2</m:t>
            </m:r>
          </m:sub>
        </m:sSub>
        <m:r>
          <w:rPr>
            <w:rFonts w:ascii="Cambria Math" w:hAnsi="Cambria Math"/>
            <w:szCs w:val="24"/>
          </w:rPr>
          <m:t xml:space="preserve">&lt; …&lt; </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J-1</m:t>
            </m:r>
          </m:sub>
        </m:sSub>
        <m:r>
          <w:rPr>
            <w:rFonts w:ascii="Cambria Math" w:hAnsi="Cambria Math"/>
            <w:szCs w:val="24"/>
          </w:rPr>
          <m:t>&lt; +</m:t>
        </m:r>
        <m:r>
          <m:rPr>
            <m:sty m:val="p"/>
          </m:rPr>
          <w:rPr>
            <w:rFonts w:ascii="Cambria Math" w:hAnsi="Cambria Math"/>
          </w:rPr>
          <m:t>∞</m:t>
        </m:r>
      </m:oMath>
      <w:r w:rsidR="00E360F0">
        <w:t>).</w:t>
      </w:r>
      <w:r>
        <w:rPr>
          <w:szCs w:val="24"/>
        </w:rPr>
        <w:t xml:space="preserve"> The variable</w:t>
      </w:r>
      <m:oMath>
        <m:r>
          <m:rPr>
            <m:sty m:val="p"/>
          </m:rPr>
          <w:rPr>
            <w:rFonts w:ascii="Cambria Math"/>
            <w:szCs w:val="24"/>
          </w:rPr>
          <m:t xml:space="preserve"> </m:t>
        </m:r>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oMath>
      <w:r>
        <w:rPr>
          <w:szCs w:val="24"/>
        </w:rPr>
        <w:t xml:space="preserve"> is </w:t>
      </w:r>
      <w:r w:rsidR="00DB4C2C">
        <w:rPr>
          <w:szCs w:val="24"/>
        </w:rPr>
        <w:t xml:space="preserve">linked </w:t>
      </w:r>
      <w:r>
        <w:rPr>
          <w:szCs w:val="24"/>
        </w:rPr>
        <w:t>to the observ</w:t>
      </w:r>
      <w:r w:rsidR="00E360F0">
        <w:rPr>
          <w:szCs w:val="24"/>
        </w:rPr>
        <w:t>ed</w:t>
      </w:r>
      <w:r>
        <w:rPr>
          <w:szCs w:val="24"/>
        </w:rPr>
        <w:t xml:space="preserve"> variable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i</m:t>
            </m:r>
          </m:sub>
        </m:sSub>
      </m:oMath>
      <w:r>
        <w:rPr>
          <w:szCs w:val="24"/>
        </w:rPr>
        <w:t xml:space="preserve"> </w:t>
      </w:r>
      <w:r w:rsidR="006D5257">
        <w:rPr>
          <w:szCs w:val="24"/>
        </w:rPr>
        <w:t>in</w:t>
      </w:r>
      <w:r>
        <w:rPr>
          <w:szCs w:val="24"/>
        </w:rPr>
        <w:t xml:space="preserve"> the following </w:t>
      </w:r>
      <w:r w:rsidR="006D5257">
        <w:rPr>
          <w:szCs w:val="24"/>
        </w:rPr>
        <w:t>manner</w:t>
      </w:r>
      <w:r>
        <w:rPr>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1"/>
        <w:gridCol w:w="1169"/>
      </w:tblGrid>
      <w:tr w:rsidR="00642E99" w14:paraId="7AE9F3BB" w14:textId="77777777" w:rsidTr="00B95319">
        <w:tc>
          <w:tcPr>
            <w:tcW w:w="8388" w:type="dxa"/>
          </w:tcPr>
          <w:p w14:paraId="131DFC59" w14:textId="2E897819" w:rsidR="00642E99" w:rsidRDefault="006633EA" w:rsidP="00A1133D">
            <w:pPr>
              <w:spacing w:before="240"/>
              <w:rPr>
                <w:szCs w:val="24"/>
              </w:rPr>
            </w:pPr>
            <m:oMath>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m:t>
              </m:r>
              <m:r>
                <w:rPr>
                  <w:rFonts w:ascii="Cambria Math"/>
                  <w:szCs w:val="24"/>
                </w:rPr>
                <m:t>j</m:t>
              </m:r>
              <m:r>
                <w:rPr>
                  <w:rFonts w:ascii="Cambria Math"/>
                  <w:szCs w:val="24"/>
                </w:rPr>
                <m:t xml:space="preserve">,  </m:t>
              </m:r>
              <m:r>
                <w:rPr>
                  <w:rFonts w:ascii="Cambria Math"/>
                  <w:szCs w:val="24"/>
                </w:rPr>
                <m:t>if</m:t>
              </m:r>
              <m:r>
                <w:rPr>
                  <w:rFonts w:ascii="Cambria Math"/>
                  <w:szCs w:val="24"/>
                </w:rPr>
                <m:t xml:space="preserve"> </m:t>
              </m:r>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&lt;</m:t>
              </m:r>
              <m:sSubSup>
                <m:sSubSupPr>
                  <m:ctrlPr>
                    <w:rPr>
                      <w:rFonts w:ascii="Cambria Math" w:hAnsi="Cambria Math"/>
                      <w:i/>
                      <w:szCs w:val="24"/>
                    </w:rPr>
                  </m:ctrlPr>
                </m:sSubSupPr>
                <m:e>
                  <m:r>
                    <w:rPr>
                      <w:rFonts w:ascii="Cambria Math"/>
                      <w:szCs w:val="24"/>
                    </w:rPr>
                    <m:t xml:space="preserve"> </m:t>
                  </m:r>
                  <m:r>
                    <w:rPr>
                      <w:rFonts w:ascii="Cambria Math"/>
                      <w:szCs w:val="24"/>
                    </w:rPr>
                    <m:t>y</m:t>
                  </m:r>
                </m:e>
                <m:sub>
                  <m:r>
                    <w:rPr>
                      <w:rFonts w:ascii="Cambria Math"/>
                      <w:szCs w:val="24"/>
                    </w:rPr>
                    <m:t>i</m:t>
                  </m:r>
                </m:sub>
                <m:sup>
                  <m:r>
                    <w:rPr>
                      <w:rFonts w:ascii="Cambria Math" w:hAnsi="Cambria Math"/>
                      <w:szCs w:val="24"/>
                    </w:rPr>
                    <m:t>*</m:t>
                  </m:r>
                </m:sup>
              </m:sSubSup>
              <m:r>
                <w:rPr>
                  <w:rFonts w:ascii="Cambria Math"/>
                  <w:szCs w:val="24"/>
                </w:rPr>
                <m:t>&lt;</m:t>
              </m:r>
              <m:sSub>
                <m:sSubPr>
                  <m:ctrlPr>
                    <w:rPr>
                      <w:rFonts w:ascii="Cambria Math" w:hAnsi="Cambria Math"/>
                      <w:i/>
                      <w:szCs w:val="24"/>
                    </w:rPr>
                  </m:ctrlPr>
                </m:sSubPr>
                <m:e>
                  <m:r>
                    <w:rPr>
                      <w:rFonts w:ascii="Cambria Math"/>
                      <w:szCs w:val="24"/>
                    </w:rPr>
                    <m:t>τ</m:t>
                  </m:r>
                </m:e>
                <m:sub>
                  <m:r>
                    <w:rPr>
                      <w:rFonts w:ascii="Cambria Math"/>
                      <w:szCs w:val="24"/>
                    </w:rPr>
                    <m:t>j</m:t>
                  </m:r>
                </m:sub>
              </m:sSub>
            </m:oMath>
            <w:r w:rsidR="00642E99">
              <w:rPr>
                <w:i/>
                <w:szCs w:val="24"/>
              </w:rPr>
              <w:t xml:space="preserve">, for </w:t>
            </w:r>
            <m:oMath>
              <m:r>
                <w:rPr>
                  <w:rFonts w:ascii="Cambria Math"/>
                  <w:szCs w:val="24"/>
                </w:rPr>
                <m:t>j</m:t>
              </m:r>
              <m:r>
                <w:rPr>
                  <w:rFonts w:ascii="Cambria Math"/>
                  <w:szCs w:val="24"/>
                </w:rPr>
                <m:t>=1, 2,</m:t>
              </m:r>
              <m:r>
                <w:rPr>
                  <w:rFonts w:ascii="Cambria Math"/>
                  <w:szCs w:val="24"/>
                </w:rPr>
                <m:t>…</m:t>
              </m:r>
              <m:r>
                <w:rPr>
                  <w:rFonts w:ascii="Cambria Math"/>
                  <w:szCs w:val="24"/>
                </w:rPr>
                <m:t xml:space="preserve">, </m:t>
              </m:r>
              <m:r>
                <w:rPr>
                  <w:rFonts w:ascii="Cambria Math"/>
                  <w:szCs w:val="24"/>
                </w:rPr>
                <m:t>J</m:t>
              </m:r>
            </m:oMath>
          </w:p>
        </w:tc>
        <w:tc>
          <w:tcPr>
            <w:tcW w:w="1188" w:type="dxa"/>
            <w:vAlign w:val="center"/>
          </w:tcPr>
          <w:p w14:paraId="00669836" w14:textId="1692227C" w:rsidR="00642E99" w:rsidRDefault="00642E99" w:rsidP="00B95319">
            <w:pPr>
              <w:spacing w:before="240"/>
              <w:jc w:val="right"/>
              <w:rPr>
                <w:szCs w:val="24"/>
              </w:rPr>
            </w:pPr>
            <w:r>
              <w:rPr>
                <w:szCs w:val="24"/>
              </w:rPr>
              <w:t>(2)</w:t>
            </w:r>
          </w:p>
        </w:tc>
      </w:tr>
    </w:tbl>
    <w:p w14:paraId="026D211F" w14:textId="76F82C5A" w:rsidR="00642E99" w:rsidRDefault="00642E99" w:rsidP="004F523A"/>
    <w:p w14:paraId="29CA71C8" w14:textId="44D300EE" w:rsidR="00E360F0" w:rsidRDefault="00E360F0" w:rsidP="00C52F51">
      <w:pPr>
        <w:ind w:firstLine="720"/>
        <w:jc w:val="both"/>
      </w:pPr>
      <w:r>
        <w:t xml:space="preserve">Now, the probability expression </w:t>
      </w:r>
      <w:r w:rsidR="00AD5992">
        <w:t>for alternative</w:t>
      </w:r>
      <w:r>
        <w:t xml:space="preserve"> </w:t>
      </w:r>
      <m:oMath>
        <m:r>
          <w:rPr>
            <w:rFonts w:ascii="Cambria Math"/>
            <w:szCs w:val="24"/>
          </w:rPr>
          <m:t>j</m:t>
        </m:r>
      </m:oMath>
      <w:r>
        <w:t xml:space="preserve"> </w:t>
      </w:r>
      <w:r w:rsidR="006D5257">
        <w:t>is computed as follows</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1"/>
        <w:gridCol w:w="1169"/>
      </w:tblGrid>
      <w:tr w:rsidR="00E360F0" w14:paraId="6292D9AB" w14:textId="77777777" w:rsidTr="00C06220">
        <w:tc>
          <w:tcPr>
            <w:tcW w:w="8388" w:type="dxa"/>
          </w:tcPr>
          <w:p w14:paraId="05BDA740" w14:textId="583EE04D" w:rsidR="00E360F0" w:rsidRPr="00E27CE1" w:rsidRDefault="006633EA" w:rsidP="00A1133D">
            <w:pPr>
              <w:spacing w:before="240"/>
              <w:rPr>
                <w:szCs w:val="24"/>
              </w:rPr>
            </w:pPr>
            <m:oMathPara>
              <m:oMathParaPr>
                <m:jc m:val="left"/>
              </m:oMathParaPr>
              <m:oMath>
                <m:func>
                  <m:funcPr>
                    <m:ctrlPr>
                      <w:rPr>
                        <w:rFonts w:ascii="Cambria Math" w:hAnsi="Cambria Math"/>
                        <w:i/>
                        <w:szCs w:val="24"/>
                      </w:rPr>
                    </m:ctrlPr>
                  </m:funcPr>
                  <m:fName>
                    <m:r>
                      <w:rPr>
                        <w:rFonts w:ascii="Cambria Math"/>
                        <w:szCs w:val="24"/>
                      </w:rPr>
                      <m:t>Pr</m:t>
                    </m:r>
                  </m:fName>
                  <m:e>
                    <m:r>
                      <w:rPr>
                        <w:rFonts w:ascii="Cambria Math" w:hAnsi="Cambria Math"/>
                        <w:szCs w:val="24"/>
                      </w:rPr>
                      <m:t>(</m:t>
                    </m:r>
                    <m:sSub>
                      <m:sSubPr>
                        <m:ctrlPr>
                          <w:rPr>
                            <w:rFonts w:ascii="Cambria Math" w:hAnsi="Cambria Math"/>
                            <w:i/>
                            <w:szCs w:val="24"/>
                          </w:rPr>
                        </m:ctrlPr>
                      </m:sSubPr>
                      <m:e>
                        <m:r>
                          <w:rPr>
                            <w:rFonts w:ascii="Cambria Math" w:hAnsi="Cambria Math"/>
                            <w:szCs w:val="24"/>
                          </w:rPr>
                          <m:t>y</m:t>
                        </m:r>
                      </m:e>
                      <m:sub>
                        <m:r>
                          <w:rPr>
                            <w:rFonts w:ascii="Cambria Math" w:hAnsi="Cambria Math"/>
                            <w:szCs w:val="24"/>
                          </w:rPr>
                          <m:t>i</m:t>
                        </m:r>
                      </m:sub>
                    </m:sSub>
                    <m:r>
                      <w:rPr>
                        <w:rFonts w:ascii="Cambria Math"/>
                        <w:szCs w:val="24"/>
                      </w:rPr>
                      <m:t>=</m:t>
                    </m:r>
                    <m:r>
                      <w:rPr>
                        <w:rFonts w:ascii="Cambria Math"/>
                        <w:szCs w:val="24"/>
                      </w:rPr>
                      <m:t>j</m:t>
                    </m:r>
                    <m:r>
                      <w:rPr>
                        <w:rFonts w:ascii="Cambria Math"/>
                        <w:szCs w:val="24"/>
                      </w:rPr>
                      <m:t>)=</m:t>
                    </m:r>
                    <m:r>
                      <w:rPr>
                        <w:rFonts w:ascii="Cambria Math"/>
                        <w:szCs w:val="24"/>
                      </w:rPr>
                      <m:t>Λ</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sSub>
                          <m:sSubPr>
                            <m:ctrlPr>
                              <w:rPr>
                                <w:rFonts w:ascii="Cambria Math" w:hAnsi="Cambria Math"/>
                                <w:i/>
                                <w:szCs w:val="24"/>
                              </w:rPr>
                            </m:ctrlPr>
                          </m:sSubPr>
                          <m:e>
                            <m:r>
                              <w:rPr>
                                <w:rFonts w:ascii="Cambria Math"/>
                                <w:szCs w:val="24"/>
                              </w:rPr>
                              <m:t>X</m:t>
                            </m:r>
                          </m:e>
                          <m:sub>
                            <m:r>
                              <w:rPr>
                                <w:rFonts w:ascii="Cambria Math"/>
                                <w:szCs w:val="24"/>
                              </w:rPr>
                              <m:t>i</m:t>
                            </m:r>
                          </m:sub>
                        </m:sSub>
                        <m:r>
                          <w:rPr>
                            <w:rFonts w:ascii="Cambria Math"/>
                            <w:szCs w:val="24"/>
                          </w:rPr>
                          <m:t>β</m:t>
                        </m:r>
                      </m:e>
                    </m:d>
                    <m:r>
                      <w:rPr>
                        <w:rFonts w:ascii="Cambria Math"/>
                        <w:szCs w:val="24"/>
                      </w:rPr>
                      <m:t>-</m:t>
                    </m:r>
                  </m:e>
                </m:func>
                <m:r>
                  <w:rPr>
                    <w:rFonts w:ascii="Cambria Math"/>
                    <w:szCs w:val="24"/>
                  </w:rPr>
                  <m:t>Λ</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sSub>
                      <m:sSubPr>
                        <m:ctrlPr>
                          <w:rPr>
                            <w:rFonts w:ascii="Cambria Math" w:hAnsi="Cambria Math"/>
                            <w:i/>
                            <w:szCs w:val="24"/>
                          </w:rPr>
                        </m:ctrlPr>
                      </m:sSubPr>
                      <m:e>
                        <m:r>
                          <w:rPr>
                            <w:rFonts w:ascii="Cambria Math"/>
                            <w:szCs w:val="24"/>
                          </w:rPr>
                          <m:t>X</m:t>
                        </m:r>
                      </m:e>
                      <m:sub>
                        <m:r>
                          <w:rPr>
                            <w:rFonts w:ascii="Cambria Math"/>
                            <w:szCs w:val="24"/>
                          </w:rPr>
                          <m:t>i</m:t>
                        </m:r>
                      </m:sub>
                    </m:sSub>
                    <m:r>
                      <w:rPr>
                        <w:rFonts w:ascii="Cambria Math"/>
                        <w:szCs w:val="24"/>
                      </w:rPr>
                      <m:t>β</m:t>
                    </m:r>
                  </m:e>
                </m:d>
              </m:oMath>
            </m:oMathPara>
          </w:p>
        </w:tc>
        <w:tc>
          <w:tcPr>
            <w:tcW w:w="1188" w:type="dxa"/>
            <w:vAlign w:val="center"/>
          </w:tcPr>
          <w:p w14:paraId="57C603F6" w14:textId="7F41BD0B" w:rsidR="00E360F0" w:rsidRDefault="00E360F0" w:rsidP="00C06220">
            <w:pPr>
              <w:spacing w:before="240"/>
              <w:jc w:val="right"/>
              <w:rPr>
                <w:szCs w:val="24"/>
              </w:rPr>
            </w:pPr>
            <w:r>
              <w:rPr>
                <w:szCs w:val="24"/>
              </w:rPr>
              <w:t>(3)</w:t>
            </w:r>
          </w:p>
        </w:tc>
      </w:tr>
    </w:tbl>
    <w:p w14:paraId="41403720" w14:textId="77777777" w:rsidR="00E360F0" w:rsidRDefault="00E360F0" w:rsidP="00E360F0">
      <w:pPr>
        <w:jc w:val="both"/>
      </w:pPr>
    </w:p>
    <w:p w14:paraId="12BC0825" w14:textId="4EF1EAB0" w:rsidR="00006FCF" w:rsidRPr="00C52F51" w:rsidRDefault="00E360F0" w:rsidP="00C52F51">
      <w:pPr>
        <w:ind w:firstLine="720"/>
        <w:jc w:val="both"/>
        <w:rPr>
          <w:rFonts w:eastAsiaTheme="minorEastAsia"/>
          <w:szCs w:val="24"/>
        </w:rPr>
      </w:pPr>
      <w:r>
        <w:rPr>
          <w:bCs/>
        </w:rPr>
        <w:t xml:space="preserve">Where, </w:t>
      </w:r>
      <m:oMath>
        <m:r>
          <w:rPr>
            <w:rFonts w:ascii="Cambria Math"/>
          </w:rPr>
          <m:t>Λ(</m:t>
        </m:r>
        <m:r>
          <w:rPr>
            <w:rFonts w:ascii="Cambria Math" w:hAnsi="Cambria Math"/>
          </w:rPr>
          <m:t>∙</m:t>
        </m:r>
        <m:r>
          <w:rPr>
            <w:rFonts w:ascii="Cambria Math"/>
          </w:rPr>
          <m:t>)</m:t>
        </m:r>
      </m:oMath>
      <w:r>
        <w:t xml:space="preserve"> represents the standard logistic</w:t>
      </w:r>
      <w:r w:rsidR="00C74C87">
        <w:t xml:space="preserve"> (normal)</w:t>
      </w:r>
      <w:r>
        <w:t xml:space="preserve"> cumulative distribution function</w:t>
      </w:r>
      <w:r w:rsidR="00C74C87">
        <w:t>.</w:t>
      </w:r>
      <w:r w:rsidR="00C74C87" w:rsidDel="00C74C87">
        <w:t xml:space="preserve"> </w:t>
      </w:r>
      <w:r w:rsidR="00C70CC5">
        <w:t>The standard logistic (normal) assumption results in an ordered logit (probit) model.</w:t>
      </w:r>
      <w:r w:rsidR="00C52F51">
        <w:rPr>
          <w:rFonts w:eastAsiaTheme="minorEastAsia"/>
          <w:szCs w:val="24"/>
        </w:rPr>
        <w:t xml:space="preserve"> </w:t>
      </w:r>
      <w:r w:rsidR="00006FCF">
        <w:t xml:space="preserve">The unknown parameters in equation </w:t>
      </w:r>
      <w:r w:rsidR="00C563F6">
        <w:t>(</w:t>
      </w:r>
      <w:r w:rsidR="0066618D">
        <w:t>3</w:t>
      </w:r>
      <w:r w:rsidR="00C563F6">
        <w:t>)</w:t>
      </w:r>
      <w:r w:rsidR="00006FCF">
        <w:t xml:space="preserve"> are </w:t>
      </w:r>
      <m:oMath>
        <m:r>
          <w:rPr>
            <w:rFonts w:ascii="Cambria Math" w:hAnsi="Cambria Math"/>
            <w:szCs w:val="24"/>
          </w:rPr>
          <m:t>τ</m:t>
        </m:r>
      </m:oMath>
      <w:r w:rsidR="00006FCF">
        <w:rPr>
          <w:rFonts w:eastAsiaTheme="minorEastAsia"/>
          <w:szCs w:val="24"/>
        </w:rPr>
        <w:t xml:space="preserve"> and </w:t>
      </w:r>
      <m:oMath>
        <m:r>
          <w:rPr>
            <w:rFonts w:ascii="Cambria Math"/>
            <w:szCs w:val="24"/>
          </w:rPr>
          <m:t>β</m:t>
        </m:r>
      </m:oMath>
      <w:r w:rsidR="00006FCF">
        <w:t xml:space="preserve"> </w:t>
      </w:r>
      <w:r w:rsidR="00D3189B">
        <w:t>which can be</w:t>
      </w:r>
      <w:r w:rsidR="00006FCF">
        <w:t xml:space="preserve"> estimated by maximizing log-likelihood function presented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8"/>
        <w:gridCol w:w="1162"/>
      </w:tblGrid>
      <w:tr w:rsidR="00006FCF" w14:paraId="75110FB0" w14:textId="77777777" w:rsidTr="00C06220">
        <w:tc>
          <w:tcPr>
            <w:tcW w:w="8388" w:type="dxa"/>
          </w:tcPr>
          <w:p w14:paraId="3FA59C9B" w14:textId="3829FBF0" w:rsidR="00006FCF" w:rsidRPr="00E360F0" w:rsidRDefault="00206B09" w:rsidP="00A1133D">
            <w:pPr>
              <w:spacing w:before="240"/>
              <w:rPr>
                <w:szCs w:val="24"/>
              </w:rPr>
            </w:pPr>
            <m:oMathPara>
              <m:oMathParaPr>
                <m:jc m:val="left"/>
              </m:oMathParaPr>
              <m:oMath>
                <m:r>
                  <w:rPr>
                    <w:rFonts w:ascii="Cambria Math"/>
                    <w:szCs w:val="24"/>
                  </w:rPr>
                  <m:t xml:space="preserve">LL= </m:t>
                </m:r>
                <m:nary>
                  <m:naryPr>
                    <m:chr m:val="∑"/>
                    <m:limLoc m:val="undOvr"/>
                    <m:ctrlPr>
                      <w:rPr>
                        <w:rFonts w:ascii="Cambria Math" w:hAnsi="Cambria Math"/>
                        <w:i/>
                        <w:szCs w:val="24"/>
                      </w:rPr>
                    </m:ctrlPr>
                  </m:naryPr>
                  <m:sub>
                    <m:r>
                      <w:rPr>
                        <w:rFonts w:ascii="Cambria Math"/>
                        <w:szCs w:val="24"/>
                      </w:rPr>
                      <m:t>i=1</m:t>
                    </m:r>
                  </m:sub>
                  <m:sup>
                    <m:r>
                      <w:rPr>
                        <w:rFonts w:ascii="Cambria Math"/>
                        <w:szCs w:val="24"/>
                      </w:rPr>
                      <m:t>N</m:t>
                    </m:r>
                  </m:sup>
                  <m:e>
                    <m:nary>
                      <m:naryPr>
                        <m:chr m:val="∑"/>
                        <m:limLoc m:val="undOvr"/>
                        <m:ctrlPr>
                          <w:rPr>
                            <w:rFonts w:ascii="Cambria Math" w:hAnsi="Cambria Math"/>
                            <w:i/>
                            <w:szCs w:val="24"/>
                          </w:rPr>
                        </m:ctrlPr>
                      </m:naryPr>
                      <m:sub>
                        <m:r>
                          <w:rPr>
                            <w:rFonts w:ascii="Cambria Math"/>
                            <w:szCs w:val="24"/>
                          </w:rPr>
                          <m:t>j=1</m:t>
                        </m:r>
                      </m:sub>
                      <m:sup>
                        <m:r>
                          <w:rPr>
                            <w:rFonts w:ascii="Cambria Math"/>
                            <w:szCs w:val="24"/>
                          </w:rPr>
                          <m:t>J</m:t>
                        </m:r>
                      </m:sup>
                      <m:e>
                        <m:r>
                          <w:rPr>
                            <w:rFonts w:ascii="Cambria Math"/>
                            <w:szCs w:val="24"/>
                          </w:rPr>
                          <m:t>ln</m:t>
                        </m:r>
                        <m:d>
                          <m:dPr>
                            <m:begChr m:val="["/>
                            <m:endChr m:val="]"/>
                            <m:ctrlPr>
                              <w:rPr>
                                <w:rFonts w:ascii="Cambria Math" w:hAnsi="Cambria Math"/>
                                <w:szCs w:val="24"/>
                              </w:rPr>
                            </m:ctrlPr>
                          </m:dPr>
                          <m:e>
                            <m:func>
                              <m:funcPr>
                                <m:ctrlPr>
                                  <w:rPr>
                                    <w:rFonts w:ascii="Cambria Math" w:hAnsi="Cambria Math"/>
                                    <w:szCs w:val="24"/>
                                  </w:rPr>
                                </m:ctrlPr>
                              </m:funcPr>
                              <m:fName>
                                <m:r>
                                  <m:rPr>
                                    <m:sty m:val="p"/>
                                  </m:rPr>
                                  <w:rPr>
                                    <w:rFonts w:ascii="Cambria Math"/>
                                    <w:szCs w:val="24"/>
                                  </w:rPr>
                                  <m:t>Pr</m:t>
                                </m:r>
                              </m:fName>
                              <m:e>
                                <m:sSup>
                                  <m:sSupPr>
                                    <m:ctrlPr>
                                      <w:rPr>
                                        <w:rFonts w:ascii="Cambria Math" w:hAnsi="Cambria Math"/>
                                        <w:i/>
                                        <w:szCs w:val="24"/>
                                      </w:rPr>
                                    </m:ctrlPr>
                                  </m:sSupPr>
                                  <m:e>
                                    <m:d>
                                      <m:dPr>
                                        <m:ctrlPr>
                                          <w:rPr>
                                            <w:rFonts w:ascii="Cambria Math" w:hAnsi="Cambria Math"/>
                                            <w:i/>
                                            <w:szCs w:val="24"/>
                                          </w:rPr>
                                        </m:ctrlPr>
                                      </m:dPr>
                                      <m:e>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=j</m:t>
                                        </m:r>
                                      </m:e>
                                      <m:e>
                                        <m:sSub>
                                          <m:sSubPr>
                                            <m:ctrlPr>
                                              <w:rPr>
                                                <w:rFonts w:ascii="Cambria Math" w:hAnsi="Cambria Math"/>
                                                <w:i/>
                                                <w:szCs w:val="24"/>
                                              </w:rPr>
                                            </m:ctrlPr>
                                          </m:sSubPr>
                                          <m:e>
                                            <m:r>
                                              <w:rPr>
                                                <w:rFonts w:ascii="Cambria Math"/>
                                                <w:szCs w:val="24"/>
                                              </w:rPr>
                                              <m:t>X</m:t>
                                            </m:r>
                                          </m:e>
                                          <m:sub>
                                            <m:r>
                                              <w:rPr>
                                                <w:rFonts w:ascii="Cambria Math"/>
                                                <w:szCs w:val="24"/>
                                              </w:rPr>
                                              <m:t>i</m:t>
                                            </m:r>
                                          </m:sub>
                                        </m:sSub>
                                      </m:e>
                                    </m:d>
                                  </m:e>
                                  <m:sup>
                                    <m:sSub>
                                      <m:sSubPr>
                                        <m:ctrlPr>
                                          <w:rPr>
                                            <w:rFonts w:ascii="Cambria Math" w:hAnsi="Cambria Math"/>
                                            <w:i/>
                                            <w:szCs w:val="24"/>
                                          </w:rPr>
                                        </m:ctrlPr>
                                      </m:sSubPr>
                                      <m:e>
                                        <m:r>
                                          <w:rPr>
                                            <w:rFonts w:ascii="Cambria Math" w:hAnsi="Cambria Math"/>
                                            <w:szCs w:val="24"/>
                                          </w:rPr>
                                          <m:t>m</m:t>
                                        </m:r>
                                      </m:e>
                                      <m:sub>
                                        <m:r>
                                          <w:rPr>
                                            <w:rFonts w:ascii="Cambria Math" w:hAnsi="Cambria Math"/>
                                            <w:szCs w:val="24"/>
                                          </w:rPr>
                                          <m:t>ij</m:t>
                                        </m:r>
                                      </m:sub>
                                    </m:sSub>
                                  </m:sup>
                                </m:sSup>
                              </m:e>
                            </m:func>
                            <m:ctrlPr>
                              <w:rPr>
                                <w:rFonts w:ascii="Cambria Math" w:hAnsi="Cambria Math"/>
                                <w:i/>
                                <w:szCs w:val="24"/>
                              </w:rPr>
                            </m:ctrlPr>
                          </m:e>
                        </m:d>
                      </m:e>
                    </m:nary>
                  </m:e>
                </m:nary>
              </m:oMath>
            </m:oMathPara>
          </w:p>
        </w:tc>
        <w:tc>
          <w:tcPr>
            <w:tcW w:w="1188" w:type="dxa"/>
            <w:vAlign w:val="center"/>
          </w:tcPr>
          <w:p w14:paraId="4F75CB9C" w14:textId="4281AF00" w:rsidR="00006FCF" w:rsidRDefault="00006FCF" w:rsidP="00C06220">
            <w:pPr>
              <w:spacing w:before="240"/>
              <w:jc w:val="right"/>
              <w:rPr>
                <w:szCs w:val="24"/>
              </w:rPr>
            </w:pPr>
            <w:r>
              <w:rPr>
                <w:szCs w:val="24"/>
              </w:rPr>
              <w:t>(</w:t>
            </w:r>
            <w:r w:rsidR="0066618D">
              <w:rPr>
                <w:szCs w:val="24"/>
              </w:rPr>
              <w:t>4</w:t>
            </w:r>
            <w:r>
              <w:rPr>
                <w:szCs w:val="24"/>
              </w:rPr>
              <w:t>)</w:t>
            </w:r>
          </w:p>
        </w:tc>
      </w:tr>
    </w:tbl>
    <w:p w14:paraId="1D862E29" w14:textId="77777777" w:rsidR="00006FCF" w:rsidRDefault="00006FCF" w:rsidP="006279DD">
      <w:pPr>
        <w:jc w:val="both"/>
      </w:pPr>
    </w:p>
    <w:p w14:paraId="60A133B2" w14:textId="04236A4C" w:rsidR="00E360F0" w:rsidRPr="00FE0DFD" w:rsidRDefault="003745AD" w:rsidP="00C52F51">
      <w:pPr>
        <w:ind w:firstLine="720"/>
        <w:jc w:val="both"/>
        <w:rPr>
          <w:rFonts w:eastAsiaTheme="minorEastAsia"/>
          <w:szCs w:val="24"/>
        </w:rPr>
      </w:pPr>
      <w:r w:rsidRPr="00FE0DFD">
        <w:rPr>
          <w:szCs w:val="24"/>
        </w:rPr>
        <w:t>In</w:t>
      </w:r>
      <w:r w:rsidR="006279DD" w:rsidRPr="00FE0DFD">
        <w:rPr>
          <w:szCs w:val="24"/>
        </w:rPr>
        <w:t xml:space="preserve"> equation </w:t>
      </w:r>
      <w:r w:rsidR="00C563F6">
        <w:rPr>
          <w:szCs w:val="24"/>
        </w:rPr>
        <w:t>(</w:t>
      </w:r>
      <w:r w:rsidR="0066618D">
        <w:rPr>
          <w:szCs w:val="24"/>
        </w:rPr>
        <w:t>4</w:t>
      </w:r>
      <w:r w:rsidR="00C563F6">
        <w:rPr>
          <w:szCs w:val="24"/>
        </w:rPr>
        <w:t>)</w:t>
      </w:r>
      <w:r w:rsidR="006279DD" w:rsidRPr="00FE0DFD">
        <w:rPr>
          <w:szCs w:val="24"/>
        </w:rPr>
        <w:t xml:space="preserve">,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ij</m:t>
            </m:r>
          </m:sub>
        </m:sSub>
      </m:oMath>
      <w:r w:rsidRPr="00FE0DFD">
        <w:rPr>
          <w:rFonts w:eastAsiaTheme="minorEastAsia"/>
          <w:szCs w:val="24"/>
        </w:rPr>
        <w:t xml:space="preserve"> is a binary variable where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ij</m:t>
            </m:r>
          </m:sub>
        </m:sSub>
        <m:r>
          <w:rPr>
            <w:rFonts w:ascii="Cambria Math" w:hAnsi="Cambria Math"/>
            <w:szCs w:val="24"/>
          </w:rPr>
          <m:t>=1</m:t>
        </m:r>
      </m:oMath>
      <w:r w:rsidRPr="00FE0DFD">
        <w:rPr>
          <w:rFonts w:eastAsiaTheme="minorEastAsia"/>
          <w:szCs w:val="24"/>
        </w:rPr>
        <w:t xml:space="preserve"> if </w:t>
      </w:r>
      <m:oMath>
        <m:r>
          <w:rPr>
            <w:rFonts w:ascii="Cambria Math"/>
            <w:szCs w:val="24"/>
          </w:rPr>
          <m:t>j</m:t>
        </m:r>
      </m:oMath>
      <w:r w:rsidRPr="00FE0DFD">
        <w:rPr>
          <w:szCs w:val="24"/>
        </w:rPr>
        <w:t xml:space="preserve"> is the observed level and 0, otherwise.</w:t>
      </w:r>
      <w:r w:rsidR="00C74C87">
        <w:rPr>
          <w:szCs w:val="24"/>
        </w:rPr>
        <w:t xml:space="preserve"> The reader would note that the ordering of thresholds must be maintained to ensure non-negativity of probabilit</w:t>
      </w:r>
      <w:r w:rsidR="007918D2">
        <w:rPr>
          <w:szCs w:val="24"/>
        </w:rPr>
        <w:t>y</w:t>
      </w:r>
      <w:r w:rsidR="00C74C87">
        <w:rPr>
          <w:szCs w:val="24"/>
        </w:rPr>
        <w:t xml:space="preserve"> </w:t>
      </w:r>
      <w:r w:rsidR="00CD508F">
        <w:rPr>
          <w:szCs w:val="24"/>
        </w:rPr>
        <w:t>values</w:t>
      </w:r>
      <w:r w:rsidR="00C74C87">
        <w:rPr>
          <w:szCs w:val="24"/>
        </w:rPr>
        <w:t>.</w:t>
      </w:r>
      <w:r w:rsidR="006279DD" w:rsidRPr="00FE0DFD">
        <w:rPr>
          <w:rFonts w:eastAsiaTheme="minorEastAsia"/>
          <w:szCs w:val="24"/>
        </w:rPr>
        <w:t xml:space="preserve">   </w:t>
      </w:r>
    </w:p>
    <w:p w14:paraId="3DC29A78" w14:textId="7858BD7B" w:rsidR="00305FE5" w:rsidRDefault="00305FE5" w:rsidP="006279DD">
      <w:pPr>
        <w:jc w:val="both"/>
        <w:rPr>
          <w:rFonts w:eastAsiaTheme="minorEastAsia"/>
          <w:szCs w:val="24"/>
        </w:rPr>
      </w:pPr>
    </w:p>
    <w:p w14:paraId="5C9E7485" w14:textId="49C36DAE" w:rsidR="006279DD" w:rsidRDefault="006279DD" w:rsidP="0091122B">
      <w:pPr>
        <w:pStyle w:val="Heading2"/>
      </w:pPr>
      <w:r>
        <w:t xml:space="preserve">Generalized Ordered </w:t>
      </w:r>
      <w:r w:rsidR="00330069">
        <w:t xml:space="preserve">Response </w:t>
      </w:r>
      <w:r>
        <w:t>Model</w:t>
      </w:r>
    </w:p>
    <w:p w14:paraId="5BD910D5" w14:textId="4F65CF9D" w:rsidR="006279DD" w:rsidRDefault="00A57163" w:rsidP="00305FE5">
      <w:pPr>
        <w:jc w:val="both"/>
        <w:rPr>
          <w:szCs w:val="24"/>
        </w:rPr>
      </w:pPr>
      <w:r>
        <w:t xml:space="preserve">The generalized ordered response framework </w:t>
      </w:r>
      <w:r w:rsidR="0063010F">
        <w:t xml:space="preserve">allows the thresholds to vary across the observations. </w:t>
      </w:r>
      <w:r w:rsidR="00EA6990">
        <w:t>This flexibility is achieved by the express</w:t>
      </w:r>
      <w:r w:rsidR="00484DC8">
        <w:t>ion of thresholds as a linear function of independent variables</w:t>
      </w:r>
      <w:r w:rsidR="00F826F7">
        <w:t xml:space="preserve"> </w:t>
      </w:r>
      <w:r w:rsidR="00F826F7">
        <w:fldChar w:fldCharType="begin" w:fldLock="1"/>
      </w:r>
      <w:r w:rsidR="002126A5">
        <w:instrText>ADDIN CSL_CITATION {"citationItems":[{"id":"ITEM-1","itemData":{"DOI":"10.3141/1784-17","ISSN":"03611981","abstract":"An ordered mixed logit (OML) formulation is proposed to model injury severity, given a crash. The proposed formulation extends the ordered probit/logit models by accommodating variable, random, and correlated injury severity thresholds associated with various severity levels. The proposed model is calibrated using a sample from the 1996 National Automotive Sampling System General Estimates System data set. Chisquare tests indicate that the more general OML formulation provides a statistically superior representation of observed injury severity data than corresponding ordered logit models. Model results indicate that injury severity thresholds vary systematically depending on individual, traffic, crash-related, and vehicle characteristics. Further, significant unobserved variability in thresholds is found, and the thresholds are correlated within a given individual. The results suggest drastically increased chances of fatal injury due to certain factors including tripped rollovers and injuries sustained by moped riders. These findings suggest that targeting these drivers, behaviors, and conditions with suitable countermeasures including education, enforcement, or curfews is likely to result in substantial safety benefits. The model and results have important implications for developing effective safety countermeasures and more accurate assessment of their impacts.","author":[{"dropping-particle":"","family":"Srinivasan","given":"Karthik K.","non-dropping-particle":"","parse-names":false,"suffix":""}],"container-title":"Transportation Research Record","id":"ITEM-1","issue":"1784","issued":{"date-parts":[["2002"]]},"page":"132-142","title":"Injury severity analysis with variable and correlated thresholds: Ordered mixed logit formulation","type":"article-journal"},"uris":["http://www.mendeley.com/documents/?uuid=ba477cd5-3714-45fc-8390-ebaff677ea23"]},{"id":"ITEM-2","itemData":{"DOI":"10.1016/j.amar.2015.04.002","ISSN":"22136657","abstract":"While there is growing application of generalized ordered outcome model variants (widely known as Generalized Ordered Logit (GOL) model and Partial Proportional Odds Logit (PPO) model) in crash injury severity analysis, there are several aspects of these approaches that are not well documented in extant safety literature. The current research note presents the relationship between these two variants of generalized ordered outcome models and elaborates on model interpretation issues. While these variants arise from different mathematical approaches employed to enhance the traditional ordered outcome model, we establish that these are mathematically identical. We also discuss how one can facilitate estimation and interpretation while building on the ordered outcome model estimates - a useful process for practitioners considering upgrading their existing traditional ordered logit/probit injury severity models. Finally, the note presents the differences within GOL and PPO model frameworks, for accommodating the effect of unobserved heterogeneity, referred to as Mixed Generalized Ordered Logit (MGOL) and Mixed Partial Proportional Odds Logit (MPPO) models while also discussing the computational difficulties that may arise in estimating these models.","author":[{"dropping-particle":"","family":"Eluru","given":"Naveen","non-dropping-particle":"","parse-names":false,"suffix":""},{"dropping-particle":"","family":"Yasmin","given":"Shamsunnahar","non-dropping-particle":"","parse-names":false,"suffix":""}],"container-title":"Analytic Methods in Accident Research","id":"ITEM-2","issued":{"date-parts":[["2015"]]},"page":"1-6","publisher":"Elsevier","title":"A note on generalized ordered outcome models","type":"article-journal","volume":"8"},"uris":["http://www.mendeley.com/documents/?uuid=772cd8b8-68a2-4d05-891c-94e56676a5e3"]}],"mendeley":{"formattedCitation":"(Srinivasan 2002; Eluru and Yasmin 2015)","manualFormatting":"(Terza 1985; Srinivasan 2002; Eluru and Yasmin 2015)","plainTextFormattedCitation":"(Srinivasan 2002; Eluru and Yasmin 2015)","previouslyFormattedCitation":"(Srinivasan 2002; Eluru and Yasmin 2015)"},"properties":{"noteIndex":0},"schema":"https://github.com/citation-style-language/schema/raw/master/csl-citation.json"}</w:instrText>
      </w:r>
      <w:r w:rsidR="00F826F7">
        <w:fldChar w:fldCharType="separate"/>
      </w:r>
      <w:r w:rsidR="00F826F7" w:rsidRPr="00F826F7">
        <w:rPr>
          <w:noProof/>
        </w:rPr>
        <w:t>(</w:t>
      </w:r>
      <w:r w:rsidR="00F826F7">
        <w:rPr>
          <w:noProof/>
        </w:rPr>
        <w:t xml:space="preserve">Terza 1985; </w:t>
      </w:r>
      <w:r w:rsidR="00802477" w:rsidRPr="00F826F7">
        <w:rPr>
          <w:noProof/>
        </w:rPr>
        <w:t>Srinivasan 2002</w:t>
      </w:r>
      <w:r w:rsidR="00802477">
        <w:rPr>
          <w:noProof/>
        </w:rPr>
        <w:t xml:space="preserve">; </w:t>
      </w:r>
      <w:r w:rsidR="00F826F7" w:rsidRPr="00F826F7">
        <w:rPr>
          <w:noProof/>
        </w:rPr>
        <w:t xml:space="preserve">Eluru </w:t>
      </w:r>
      <w:r w:rsidR="009241A4">
        <w:rPr>
          <w:noProof/>
        </w:rPr>
        <w:t>and</w:t>
      </w:r>
      <w:r w:rsidR="00F826F7" w:rsidRPr="00F826F7">
        <w:rPr>
          <w:noProof/>
        </w:rPr>
        <w:t xml:space="preserve"> Yasmin 2015)</w:t>
      </w:r>
      <w:r w:rsidR="00F826F7">
        <w:fldChar w:fldCharType="end"/>
      </w:r>
      <w:r w:rsidR="00305FE5">
        <w:rPr>
          <w:szCs w:val="24"/>
        </w:rPr>
        <w:t xml:space="preserve"> using</w:t>
      </w:r>
      <w:r w:rsidR="00484DC8">
        <w:rPr>
          <w:szCs w:val="24"/>
        </w:rPr>
        <w:t xml:space="preserve"> the following parametric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gridCol w:w="1170"/>
      </w:tblGrid>
      <w:tr w:rsidR="00484DC8" w14:paraId="10FC93D1" w14:textId="77777777" w:rsidTr="00C06220">
        <w:tc>
          <w:tcPr>
            <w:tcW w:w="8388" w:type="dxa"/>
          </w:tcPr>
          <w:p w14:paraId="0BF6455C" w14:textId="1B82E597" w:rsidR="00484DC8" w:rsidRPr="00E360F0" w:rsidRDefault="006633EA" w:rsidP="00A1133D">
            <w:pPr>
              <w:spacing w:before="240"/>
              <w:rPr>
                <w:szCs w:val="24"/>
              </w:rPr>
            </w:pPr>
            <m:oMathPara>
              <m:oMathParaPr>
                <m:jc m:val="left"/>
              </m:oMathParaPr>
              <m:oMath>
                <m:sSub>
                  <m:sSubPr>
                    <m:ctrlPr>
                      <w:rPr>
                        <w:rFonts w:ascii="Cambria Math" w:hAnsi="Cambria Math"/>
                        <w:i/>
                        <w:szCs w:val="24"/>
                      </w:rPr>
                    </m:ctrlPr>
                  </m:sSubPr>
                  <m:e>
                    <m:r>
                      <w:rPr>
                        <w:rFonts w:ascii="Cambria Math"/>
                        <w:szCs w:val="24"/>
                      </w:rPr>
                      <m:t>τ</m:t>
                    </m:r>
                  </m:e>
                  <m:sub>
                    <m:r>
                      <w:rPr>
                        <w:rFonts w:ascii="Cambria Math"/>
                        <w:szCs w:val="24"/>
                      </w:rPr>
                      <m:t>i</m:t>
                    </m:r>
                    <m:r>
                      <w:rPr>
                        <w:rFonts w:ascii="Cambria Math"/>
                        <w:szCs w:val="24"/>
                      </w:rPr>
                      <m:t>,</m:t>
                    </m:r>
                    <m:r>
                      <w:rPr>
                        <w:rFonts w:ascii="Cambria Math"/>
                        <w:szCs w:val="24"/>
                      </w:rPr>
                      <m:t>j</m:t>
                    </m:r>
                  </m:sub>
                </m:sSub>
                <m:r>
                  <w:rPr>
                    <w:rFonts w:ascii="Cambria Math"/>
                    <w:szCs w:val="24"/>
                  </w:rPr>
                  <m:t>=</m:t>
                </m:r>
                <m:sSub>
                  <m:sSubPr>
                    <m:ctrlPr>
                      <w:rPr>
                        <w:rFonts w:ascii="Cambria Math" w:hAnsi="Cambria Math"/>
                        <w:i/>
                        <w:szCs w:val="24"/>
                      </w:rPr>
                    </m:ctrlPr>
                  </m:sSubPr>
                  <m:e>
                    <m:r>
                      <w:rPr>
                        <w:rFonts w:ascii="Cambria Math" w:hAnsi="Cambria Math"/>
                        <w:szCs w:val="24"/>
                      </w:rPr>
                      <m:t>α</m:t>
                    </m:r>
                  </m:e>
                  <m:sub>
                    <m:r>
                      <w:rPr>
                        <w:rFonts w:ascii="Cambria Math"/>
                        <w:szCs w:val="24"/>
                      </w:rPr>
                      <m:t>j</m:t>
                    </m:r>
                  </m:sub>
                </m:sSub>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δ</m:t>
                        </m:r>
                      </m:e>
                      <m:sub>
                        <m:r>
                          <w:rPr>
                            <w:rFonts w:ascii="Cambria Math"/>
                            <w:szCs w:val="24"/>
                          </w:rPr>
                          <m:t>j</m:t>
                        </m:r>
                      </m:sub>
                    </m:sSub>
                    <m:r>
                      <w:rPr>
                        <w:rFonts w:ascii="Cambria Math" w:hAnsi="Cambria Math"/>
                        <w:szCs w:val="24"/>
                      </w:rPr>
                      <m:t>Z</m:t>
                    </m:r>
                  </m:e>
                  <m:sub>
                    <m:r>
                      <w:rPr>
                        <w:rFonts w:ascii="Cambria Math"/>
                        <w:szCs w:val="24"/>
                      </w:rPr>
                      <m:t>i</m:t>
                    </m:r>
                  </m:sub>
                </m:sSub>
              </m:oMath>
            </m:oMathPara>
          </w:p>
        </w:tc>
        <w:tc>
          <w:tcPr>
            <w:tcW w:w="1188" w:type="dxa"/>
            <w:vAlign w:val="center"/>
          </w:tcPr>
          <w:p w14:paraId="01CF83B6" w14:textId="201E1975" w:rsidR="00484DC8" w:rsidRDefault="00484DC8" w:rsidP="00C06220">
            <w:pPr>
              <w:spacing w:before="240"/>
              <w:jc w:val="right"/>
              <w:rPr>
                <w:szCs w:val="24"/>
              </w:rPr>
            </w:pPr>
            <w:r>
              <w:rPr>
                <w:szCs w:val="24"/>
              </w:rPr>
              <w:t>(</w:t>
            </w:r>
            <w:r w:rsidR="00C563F6">
              <w:rPr>
                <w:szCs w:val="24"/>
              </w:rPr>
              <w:t>5</w:t>
            </w:r>
            <w:r>
              <w:rPr>
                <w:szCs w:val="24"/>
              </w:rPr>
              <w:t>)</w:t>
            </w:r>
          </w:p>
        </w:tc>
      </w:tr>
    </w:tbl>
    <w:p w14:paraId="59C9B11B" w14:textId="35AD2667" w:rsidR="00484DC8" w:rsidRDefault="00484DC8" w:rsidP="006279DD"/>
    <w:p w14:paraId="735B7863" w14:textId="69C553F5" w:rsidR="00484DC8" w:rsidRDefault="00304B08" w:rsidP="00C52F51">
      <w:pPr>
        <w:ind w:firstLine="720"/>
        <w:jc w:val="both"/>
        <w:rPr>
          <w:szCs w:val="24"/>
        </w:rPr>
      </w:pPr>
      <w:r>
        <w:rPr>
          <w:szCs w:val="24"/>
        </w:rPr>
        <w:t>w</w:t>
      </w:r>
      <w:r w:rsidR="00484DC8" w:rsidRPr="00802477">
        <w:rPr>
          <w:szCs w:val="24"/>
        </w:rPr>
        <w:t>here,</w:t>
      </w:r>
      <w:r w:rsidR="005B1820" w:rsidRPr="00802477">
        <w:rPr>
          <w:szCs w:val="24"/>
        </w:rPr>
        <w:t xml:space="preserve"> </w:t>
      </w:r>
      <m:oMath>
        <m:sSub>
          <m:sSubPr>
            <m:ctrlPr>
              <w:rPr>
                <w:rFonts w:ascii="Cambria Math" w:hAnsi="Cambria Math"/>
                <w:i/>
                <w:szCs w:val="24"/>
              </w:rPr>
            </m:ctrlPr>
          </m:sSubPr>
          <m:e>
            <m:r>
              <w:rPr>
                <w:rFonts w:ascii="Cambria Math" w:hAnsi="Cambria Math"/>
                <w:szCs w:val="24"/>
              </w:rPr>
              <m:t>α</m:t>
            </m:r>
          </m:e>
          <m:sub>
            <m:r>
              <w:rPr>
                <w:rFonts w:ascii="Cambria Math"/>
                <w:szCs w:val="24"/>
              </w:rPr>
              <m:t>j</m:t>
            </m:r>
          </m:sub>
        </m:sSub>
      </m:oMath>
      <w:r w:rsidR="005B1820" w:rsidRPr="00802477">
        <w:rPr>
          <w:rFonts w:eastAsiaTheme="minorEastAsia"/>
          <w:szCs w:val="24"/>
        </w:rPr>
        <w:t xml:space="preserve"> is a constant specific to category </w:t>
      </w:r>
      <m:oMath>
        <m:r>
          <w:rPr>
            <w:rFonts w:ascii="Cambria Math"/>
            <w:szCs w:val="24"/>
          </w:rPr>
          <m:t>j,</m:t>
        </m:r>
      </m:oMath>
      <w:r w:rsidR="005B1820" w:rsidRPr="00802477">
        <w:rPr>
          <w:rFonts w:eastAsiaTheme="minorEastAsia"/>
          <w:szCs w:val="24"/>
        </w:rPr>
        <w:t xml:space="preserve"> </w:t>
      </w:r>
      <w:r w:rsidR="00484DC8" w:rsidRPr="00802477">
        <w:rPr>
          <w:szCs w:val="24"/>
        </w:rPr>
        <w:t xml:space="preserve"> </w:t>
      </w:r>
      <m:oMath>
        <m:sSub>
          <m:sSubPr>
            <m:ctrlPr>
              <w:rPr>
                <w:rFonts w:ascii="Cambria Math" w:hAnsi="Cambria Math"/>
                <w:szCs w:val="24"/>
                <w:lang w:val="en-CA"/>
              </w:rPr>
            </m:ctrlPr>
          </m:sSubPr>
          <m:e>
            <m:r>
              <w:rPr>
                <w:rFonts w:ascii="Cambria Math" w:hAnsi="Cambria Math"/>
                <w:szCs w:val="24"/>
              </w:rPr>
              <m:t>Z</m:t>
            </m:r>
          </m:e>
          <m:sub>
            <m:r>
              <w:rPr>
                <w:rFonts w:ascii="Cambria Math"/>
                <w:szCs w:val="24"/>
              </w:rPr>
              <m:t>i</m:t>
            </m:r>
          </m:sub>
        </m:sSub>
      </m:oMath>
      <w:r w:rsidR="00484DC8" w:rsidRPr="00E27CE1">
        <w:rPr>
          <w:szCs w:val="24"/>
        </w:rPr>
        <w:t xml:space="preserve"> is a set of exogenous variable</w:t>
      </w:r>
      <w:r w:rsidR="0063010F">
        <w:rPr>
          <w:szCs w:val="24"/>
        </w:rPr>
        <w:t>s</w:t>
      </w:r>
      <w:r w:rsidR="00484DC8" w:rsidRPr="00E27CE1">
        <w:rPr>
          <w:szCs w:val="24"/>
        </w:rPr>
        <w:t xml:space="preserve"> </w:t>
      </w:r>
      <w:r w:rsidR="005B1820">
        <w:rPr>
          <w:szCs w:val="24"/>
        </w:rPr>
        <w:t>excluding</w:t>
      </w:r>
      <w:r w:rsidR="00484DC8" w:rsidRPr="00E27CE1">
        <w:rPr>
          <w:szCs w:val="24"/>
        </w:rPr>
        <w:t xml:space="preserve"> a constant and </w:t>
      </w:r>
      <m:oMath>
        <m:sSub>
          <m:sSubPr>
            <m:ctrlPr>
              <w:rPr>
                <w:rFonts w:ascii="Cambria Math" w:hAnsi="Cambria Math"/>
                <w:i/>
                <w:szCs w:val="24"/>
                <w:lang w:val="en-CA"/>
              </w:rPr>
            </m:ctrlPr>
          </m:sSubPr>
          <m:e>
            <m:r>
              <w:rPr>
                <w:rFonts w:ascii="Cambria Math" w:hAnsi="Cambria Math"/>
                <w:szCs w:val="24"/>
              </w:rPr>
              <m:t>δ</m:t>
            </m:r>
          </m:e>
          <m:sub>
            <m:r>
              <w:rPr>
                <w:rFonts w:ascii="Cambria Math"/>
                <w:szCs w:val="24"/>
              </w:rPr>
              <m:t>j</m:t>
            </m:r>
          </m:sub>
        </m:sSub>
      </m:oMath>
      <w:r w:rsidR="00484DC8" w:rsidRPr="00E27CE1">
        <w:rPr>
          <w:szCs w:val="24"/>
        </w:rPr>
        <w:t xml:space="preserve"> is a vector of parameters to be estimated. Therefore, the probability expression in equation </w:t>
      </w:r>
      <w:r w:rsidR="00C563F6">
        <w:rPr>
          <w:szCs w:val="24"/>
        </w:rPr>
        <w:t>(3)</w:t>
      </w:r>
      <w:r w:rsidR="00484DC8">
        <w:rPr>
          <w:szCs w:val="24"/>
        </w:rPr>
        <w:t xml:space="preserve"> can be modified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1"/>
        <w:gridCol w:w="1169"/>
      </w:tblGrid>
      <w:tr w:rsidR="00484DC8" w14:paraId="1F6B2F06" w14:textId="77777777" w:rsidTr="00C06220">
        <w:tc>
          <w:tcPr>
            <w:tcW w:w="8388" w:type="dxa"/>
          </w:tcPr>
          <w:p w14:paraId="4F190EE9" w14:textId="68DD8695" w:rsidR="00484DC8" w:rsidRPr="00E27CE1" w:rsidRDefault="006633EA" w:rsidP="00A1133D">
            <w:pPr>
              <w:spacing w:before="240"/>
              <w:rPr>
                <w:szCs w:val="24"/>
              </w:rPr>
            </w:pPr>
            <m:oMathPara>
              <m:oMathParaPr>
                <m:jc m:val="left"/>
              </m:oMathParaPr>
              <m:oMath>
                <m:func>
                  <m:funcPr>
                    <m:ctrlPr>
                      <w:rPr>
                        <w:rFonts w:ascii="Cambria Math" w:hAnsi="Cambria Math"/>
                        <w:i/>
                        <w:szCs w:val="24"/>
                      </w:rPr>
                    </m:ctrlPr>
                  </m:funcPr>
                  <m:fName>
                    <m:r>
                      <w:rPr>
                        <w:rFonts w:ascii="Cambria Math"/>
                        <w:szCs w:val="24"/>
                      </w:rPr>
                      <m:t>Pr</m:t>
                    </m:r>
                  </m:fName>
                  <m:e>
                    <m:r>
                      <w:rPr>
                        <w:rFonts w:ascii="Cambria Math" w:hAnsi="Cambria Math"/>
                        <w:szCs w:val="24"/>
                      </w:rPr>
                      <m:t>(</m:t>
                    </m:r>
                    <m:sSub>
                      <m:sSubPr>
                        <m:ctrlPr>
                          <w:rPr>
                            <w:rFonts w:ascii="Cambria Math" w:hAnsi="Cambria Math"/>
                            <w:i/>
                            <w:szCs w:val="24"/>
                          </w:rPr>
                        </m:ctrlPr>
                      </m:sSubPr>
                      <m:e>
                        <m:r>
                          <w:rPr>
                            <w:rFonts w:ascii="Cambria Math" w:hAnsi="Cambria Math"/>
                            <w:szCs w:val="24"/>
                          </w:rPr>
                          <m:t>y</m:t>
                        </m:r>
                      </m:e>
                      <m:sub>
                        <m:r>
                          <w:rPr>
                            <w:rFonts w:ascii="Cambria Math" w:hAnsi="Cambria Math"/>
                            <w:szCs w:val="24"/>
                          </w:rPr>
                          <m:t>i</m:t>
                        </m:r>
                      </m:sub>
                    </m:sSub>
                    <m:r>
                      <w:rPr>
                        <w:rFonts w:ascii="Cambria Math"/>
                        <w:szCs w:val="24"/>
                      </w:rPr>
                      <m:t>=</m:t>
                    </m:r>
                    <m:r>
                      <w:rPr>
                        <w:rFonts w:ascii="Cambria Math"/>
                        <w:szCs w:val="24"/>
                      </w:rPr>
                      <m:t>j</m:t>
                    </m:r>
                    <m:r>
                      <w:rPr>
                        <w:rFonts w:ascii="Cambria Math"/>
                        <w:szCs w:val="24"/>
                      </w:rPr>
                      <m:t>)=</m:t>
                    </m:r>
                    <m:r>
                      <w:rPr>
                        <w:rFonts w:ascii="Cambria Math"/>
                        <w:szCs w:val="24"/>
                      </w:rPr>
                      <m:t>Λ</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i</m:t>
                            </m:r>
                            <m:r>
                              <w:rPr>
                                <w:rFonts w:ascii="Cambria Math"/>
                                <w:szCs w:val="24"/>
                              </w:rPr>
                              <m:t>,</m:t>
                            </m:r>
                            <m:r>
                              <w:rPr>
                                <w:rFonts w:ascii="Cambria Math"/>
                                <w:szCs w:val="24"/>
                              </w:rPr>
                              <m:t>j</m:t>
                            </m:r>
                          </m:sub>
                        </m:sSub>
                        <m:r>
                          <w:rPr>
                            <w:rFonts w:ascii="Cambria Math"/>
                            <w:szCs w:val="24"/>
                          </w:rPr>
                          <m:t>-</m:t>
                        </m:r>
                        <m:sSub>
                          <m:sSubPr>
                            <m:ctrlPr>
                              <w:rPr>
                                <w:rFonts w:ascii="Cambria Math" w:hAnsi="Cambria Math"/>
                                <w:i/>
                                <w:szCs w:val="24"/>
                              </w:rPr>
                            </m:ctrlPr>
                          </m:sSubPr>
                          <m:e>
                            <m:r>
                              <w:rPr>
                                <w:rFonts w:ascii="Cambria Math"/>
                                <w:szCs w:val="24"/>
                              </w:rPr>
                              <m:t>X</m:t>
                            </m:r>
                          </m:e>
                          <m:sub>
                            <m:r>
                              <w:rPr>
                                <w:rFonts w:ascii="Cambria Math"/>
                                <w:szCs w:val="24"/>
                              </w:rPr>
                              <m:t>i</m:t>
                            </m:r>
                          </m:sub>
                        </m:sSub>
                        <m:r>
                          <w:rPr>
                            <w:rFonts w:ascii="Cambria Math"/>
                            <w:szCs w:val="24"/>
                          </w:rPr>
                          <m:t>β</m:t>
                        </m:r>
                      </m:e>
                    </m:d>
                    <m:r>
                      <w:rPr>
                        <w:rFonts w:ascii="Cambria Math"/>
                        <w:szCs w:val="24"/>
                      </w:rPr>
                      <m:t>-</m:t>
                    </m:r>
                  </m:e>
                </m:func>
                <m:r>
                  <w:rPr>
                    <w:rFonts w:ascii="Cambria Math"/>
                    <w:szCs w:val="24"/>
                  </w:rPr>
                  <m:t>Λ</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i</m:t>
                        </m:r>
                        <m:r>
                          <w:rPr>
                            <w:rFonts w:ascii="Cambria Math"/>
                            <w:szCs w:val="24"/>
                          </w:rPr>
                          <m:t>,</m:t>
                        </m:r>
                        <m:r>
                          <w:rPr>
                            <w:rFonts w:ascii="Cambria Math"/>
                            <w:szCs w:val="24"/>
                          </w:rPr>
                          <m:t>j</m:t>
                        </m:r>
                        <m:r>
                          <w:rPr>
                            <w:rFonts w:ascii="Cambria Math"/>
                            <w:szCs w:val="24"/>
                          </w:rPr>
                          <m:t>-</m:t>
                        </m:r>
                        <m:r>
                          <w:rPr>
                            <w:rFonts w:ascii="Cambria Math"/>
                            <w:szCs w:val="24"/>
                          </w:rPr>
                          <m:t>1</m:t>
                        </m:r>
                      </m:sub>
                    </m:sSub>
                    <m:r>
                      <w:rPr>
                        <w:rFonts w:ascii="Cambria Math"/>
                        <w:szCs w:val="24"/>
                      </w:rPr>
                      <m:t>-</m:t>
                    </m:r>
                    <m:sSub>
                      <m:sSubPr>
                        <m:ctrlPr>
                          <w:rPr>
                            <w:rFonts w:ascii="Cambria Math" w:hAnsi="Cambria Math"/>
                            <w:i/>
                            <w:szCs w:val="24"/>
                          </w:rPr>
                        </m:ctrlPr>
                      </m:sSubPr>
                      <m:e>
                        <m:r>
                          <w:rPr>
                            <w:rFonts w:ascii="Cambria Math"/>
                            <w:szCs w:val="24"/>
                          </w:rPr>
                          <m:t>X</m:t>
                        </m:r>
                      </m:e>
                      <m:sub>
                        <m:r>
                          <w:rPr>
                            <w:rFonts w:ascii="Cambria Math"/>
                            <w:szCs w:val="24"/>
                          </w:rPr>
                          <m:t>i</m:t>
                        </m:r>
                      </m:sub>
                    </m:sSub>
                    <m:r>
                      <w:rPr>
                        <w:rFonts w:ascii="Cambria Math"/>
                        <w:szCs w:val="24"/>
                      </w:rPr>
                      <m:t>β</m:t>
                    </m:r>
                  </m:e>
                </m:d>
              </m:oMath>
            </m:oMathPara>
          </w:p>
        </w:tc>
        <w:tc>
          <w:tcPr>
            <w:tcW w:w="1188" w:type="dxa"/>
            <w:vAlign w:val="center"/>
          </w:tcPr>
          <w:p w14:paraId="0F5DE01B" w14:textId="6BF650B2" w:rsidR="00484DC8" w:rsidRDefault="00484DC8" w:rsidP="00C06220">
            <w:pPr>
              <w:spacing w:before="240"/>
              <w:jc w:val="right"/>
              <w:rPr>
                <w:szCs w:val="24"/>
              </w:rPr>
            </w:pPr>
            <w:r>
              <w:rPr>
                <w:szCs w:val="24"/>
              </w:rPr>
              <w:t>(</w:t>
            </w:r>
            <w:r w:rsidR="00C563F6">
              <w:rPr>
                <w:szCs w:val="24"/>
              </w:rPr>
              <w:t>6</w:t>
            </w:r>
            <w:r>
              <w:rPr>
                <w:szCs w:val="24"/>
              </w:rPr>
              <w:t>)</w:t>
            </w:r>
          </w:p>
        </w:tc>
      </w:tr>
    </w:tbl>
    <w:p w14:paraId="71E0F1C0" w14:textId="77777777" w:rsidR="00F3145B" w:rsidRDefault="00F3145B" w:rsidP="00206B09">
      <w:pPr>
        <w:jc w:val="both"/>
        <w:rPr>
          <w:szCs w:val="24"/>
        </w:rPr>
      </w:pPr>
    </w:p>
    <w:p w14:paraId="69AF27E0" w14:textId="6B7A39E1" w:rsidR="00206B09" w:rsidRDefault="00206B09" w:rsidP="00C52F51">
      <w:pPr>
        <w:ind w:firstLine="720"/>
        <w:jc w:val="both"/>
        <w:rPr>
          <w:rFonts w:eastAsiaTheme="minorEastAsia"/>
          <w:bCs/>
          <w:szCs w:val="24"/>
        </w:rPr>
      </w:pPr>
      <w:r>
        <w:rPr>
          <w:szCs w:val="24"/>
        </w:rPr>
        <w:t>The unknown parameters,</w:t>
      </w:r>
      <w:r w:rsidR="005B1820">
        <w:rPr>
          <w:szCs w:val="24"/>
        </w:rPr>
        <w:t xml:space="preserve"> </w:t>
      </w:r>
      <m:oMath>
        <m:r>
          <w:rPr>
            <w:rFonts w:ascii="Cambria Math" w:hAnsi="Cambria Math"/>
            <w:szCs w:val="24"/>
          </w:rPr>
          <m:t>α,</m:t>
        </m:r>
      </m:oMath>
      <w:r>
        <w:rPr>
          <w:szCs w:val="24"/>
        </w:rPr>
        <w:t xml:space="preserve"> </w:t>
      </w:r>
      <m:oMath>
        <m:r>
          <w:rPr>
            <w:rFonts w:ascii="Cambria Math" w:hAnsi="Cambria Math"/>
            <w:szCs w:val="24"/>
          </w:rPr>
          <m:t xml:space="preserve">δ </m:t>
        </m:r>
      </m:oMath>
      <w:r w:rsidRPr="00E27CE1">
        <w:rPr>
          <w:bCs/>
        </w:rPr>
        <w:t xml:space="preserve">and </w:t>
      </w:r>
      <m:oMath>
        <m:r>
          <w:rPr>
            <w:rFonts w:ascii="Cambria Math"/>
            <w:szCs w:val="24"/>
          </w:rPr>
          <m:t>β</m:t>
        </m:r>
      </m:oMath>
      <w:r w:rsidRPr="00E27CE1">
        <w:rPr>
          <w:rFonts w:eastAsiaTheme="minorEastAsia"/>
          <w:bCs/>
          <w:szCs w:val="24"/>
        </w:rPr>
        <w:t xml:space="preserve"> are</w:t>
      </w:r>
      <w:r>
        <w:rPr>
          <w:rFonts w:eastAsiaTheme="minorEastAsia"/>
          <w:bCs/>
          <w:szCs w:val="24"/>
        </w:rPr>
        <w:t xml:space="preserve"> estimated maximizing </w:t>
      </w:r>
      <w:r w:rsidR="006E6795">
        <w:rPr>
          <w:rFonts w:eastAsiaTheme="minorEastAsia"/>
          <w:bCs/>
          <w:szCs w:val="24"/>
        </w:rPr>
        <w:t xml:space="preserve">the </w:t>
      </w:r>
      <w:r w:rsidR="00C70CC5">
        <w:rPr>
          <w:rFonts w:eastAsiaTheme="minorEastAsia"/>
          <w:bCs/>
          <w:szCs w:val="24"/>
        </w:rPr>
        <w:t xml:space="preserve">same </w:t>
      </w:r>
      <w:r>
        <w:rPr>
          <w:rFonts w:eastAsiaTheme="minorEastAsia"/>
          <w:bCs/>
          <w:szCs w:val="24"/>
        </w:rPr>
        <w:t xml:space="preserve">log-likelihood function presented in equation </w:t>
      </w:r>
      <w:r w:rsidR="00C563F6">
        <w:rPr>
          <w:rFonts w:eastAsiaTheme="minorEastAsia"/>
          <w:bCs/>
          <w:szCs w:val="24"/>
        </w:rPr>
        <w:t>(</w:t>
      </w:r>
      <w:r w:rsidR="0066618D">
        <w:rPr>
          <w:rFonts w:eastAsiaTheme="minorEastAsia"/>
          <w:bCs/>
          <w:szCs w:val="24"/>
        </w:rPr>
        <w:t>4</w:t>
      </w:r>
      <w:r w:rsidR="00C563F6">
        <w:rPr>
          <w:rFonts w:eastAsiaTheme="minorEastAsia"/>
          <w:bCs/>
          <w:szCs w:val="24"/>
        </w:rPr>
        <w:t>)</w:t>
      </w:r>
      <w:r w:rsidR="00C70CC5">
        <w:rPr>
          <w:rFonts w:eastAsiaTheme="minorEastAsia"/>
          <w:bCs/>
          <w:szCs w:val="24"/>
        </w:rPr>
        <w:t xml:space="preserve"> with probability values generated employing equation </w:t>
      </w:r>
      <w:r w:rsidR="00C563F6">
        <w:rPr>
          <w:rFonts w:eastAsiaTheme="minorEastAsia"/>
          <w:bCs/>
          <w:szCs w:val="24"/>
        </w:rPr>
        <w:t>(6)</w:t>
      </w:r>
      <w:r>
        <w:rPr>
          <w:rFonts w:eastAsiaTheme="minorEastAsia"/>
          <w:bCs/>
          <w:szCs w:val="24"/>
        </w:rPr>
        <w:t>.</w:t>
      </w:r>
    </w:p>
    <w:p w14:paraId="3374CFC5" w14:textId="235378E5" w:rsidR="00206B09" w:rsidRDefault="00206B09" w:rsidP="00206B09">
      <w:pPr>
        <w:jc w:val="both"/>
        <w:rPr>
          <w:rFonts w:eastAsiaTheme="minorEastAsia"/>
          <w:bCs/>
          <w:szCs w:val="24"/>
        </w:rPr>
      </w:pPr>
    </w:p>
    <w:p w14:paraId="5451AD7D" w14:textId="0E7A6F81" w:rsidR="00206B09" w:rsidRPr="0091122B" w:rsidRDefault="00206B09" w:rsidP="0091122B">
      <w:pPr>
        <w:pStyle w:val="Heading2"/>
      </w:pPr>
      <w:r w:rsidRPr="0091122B">
        <w:t xml:space="preserve">Mixed </w:t>
      </w:r>
      <w:r w:rsidR="00463219" w:rsidRPr="0091122B">
        <w:t xml:space="preserve">Generalized Ordered </w:t>
      </w:r>
      <w:r w:rsidR="0066618D" w:rsidRPr="0091122B">
        <w:t>R</w:t>
      </w:r>
      <w:r w:rsidR="00C47FA3" w:rsidRPr="0091122B">
        <w:t xml:space="preserve">esponse </w:t>
      </w:r>
      <w:r w:rsidR="0066618D" w:rsidRPr="0091122B">
        <w:t>F</w:t>
      </w:r>
      <w:r w:rsidR="00C47FA3" w:rsidRPr="0091122B">
        <w:t>ramework</w:t>
      </w:r>
    </w:p>
    <w:p w14:paraId="23DA393F" w14:textId="2289295B" w:rsidR="00B75E2B" w:rsidRPr="00B75E2B" w:rsidRDefault="00873EE1" w:rsidP="00C52F51">
      <w:pPr>
        <w:jc w:val="both"/>
        <w:rPr>
          <w:rFonts w:cs="Times New Roman"/>
          <w:szCs w:val="24"/>
        </w:rPr>
      </w:pPr>
      <w:r>
        <w:rPr>
          <w:rFonts w:cs="Times New Roman"/>
          <w:szCs w:val="24"/>
        </w:rPr>
        <w:t xml:space="preserve">The GOR framework described in Section </w:t>
      </w:r>
      <w:r w:rsidR="00B95319">
        <w:rPr>
          <w:rFonts w:cs="Times New Roman"/>
          <w:szCs w:val="24"/>
        </w:rPr>
        <w:t>2.2</w:t>
      </w:r>
      <w:r>
        <w:rPr>
          <w:rFonts w:cs="Times New Roman"/>
          <w:szCs w:val="24"/>
        </w:rPr>
        <w:t xml:space="preserve"> </w:t>
      </w:r>
      <w:r w:rsidR="002410BF">
        <w:rPr>
          <w:rFonts w:cs="Times New Roman"/>
          <w:szCs w:val="24"/>
        </w:rPr>
        <w:t>can be employed to examine the infl</w:t>
      </w:r>
      <w:r w:rsidR="00171EA1">
        <w:rPr>
          <w:rFonts w:cs="Times New Roman"/>
          <w:szCs w:val="24"/>
        </w:rPr>
        <w:t xml:space="preserve">uence of observed variables on the decision process. However, </w:t>
      </w:r>
      <w:r w:rsidR="004514A3">
        <w:rPr>
          <w:rFonts w:cs="Times New Roman"/>
          <w:szCs w:val="24"/>
        </w:rPr>
        <w:t xml:space="preserve">in many contexts, </w:t>
      </w:r>
      <w:r w:rsidR="00DC051A" w:rsidRPr="00B33254">
        <w:rPr>
          <w:rFonts w:cs="Times New Roman"/>
          <w:szCs w:val="24"/>
        </w:rPr>
        <w:t xml:space="preserve">it is also important for an analyst to </w:t>
      </w:r>
      <w:r w:rsidR="004514A3">
        <w:rPr>
          <w:rFonts w:cs="Times New Roman"/>
          <w:szCs w:val="24"/>
        </w:rPr>
        <w:t xml:space="preserve">recognize that variables that are missing or </w:t>
      </w:r>
      <w:r w:rsidR="0030183D">
        <w:rPr>
          <w:rFonts w:cs="Times New Roman"/>
          <w:szCs w:val="24"/>
        </w:rPr>
        <w:t>unobserved factors for a specific observation (or a set of observations)</w:t>
      </w:r>
      <w:r w:rsidR="004514A3">
        <w:rPr>
          <w:rFonts w:cs="Times New Roman"/>
          <w:szCs w:val="24"/>
        </w:rPr>
        <w:t xml:space="preserve"> can impact the decision process. </w:t>
      </w:r>
      <w:r w:rsidR="001C5B18">
        <w:t>For example, individual characteristics and vehicle safety equipment specifications are often missing in police/hospital reported crash dataset. Therefore, in crash severity analysis using traditional O</w:t>
      </w:r>
      <w:r w:rsidR="00C5631C">
        <w:t>R</w:t>
      </w:r>
      <w:r w:rsidR="001C5B18">
        <w:t xml:space="preserve"> and GO</w:t>
      </w:r>
      <w:r w:rsidR="00C5631C">
        <w:t>R</w:t>
      </w:r>
      <w:r w:rsidR="001C5B18">
        <w:t xml:space="preserve"> model, it possible that the presence of unobserved factors </w:t>
      </w:r>
      <w:r w:rsidR="00C5631C">
        <w:t xml:space="preserve">can </w:t>
      </w:r>
      <w:r w:rsidR="001C5B18">
        <w:t xml:space="preserve">modify the effect of independent variables on outcome variables </w:t>
      </w:r>
      <w:r w:rsidR="001C5B18">
        <w:fldChar w:fldCharType="begin" w:fldLock="1"/>
      </w:r>
      <w:r w:rsidR="002126A5">
        <w:instrText>ADDIN CSL_CITATION {"citationItems":[{"id":"ITEM-1","itemData":{"DOI":"10.1016/j.amar.2015.04.002","ISSN":"22136657","abstract":"While there is growing application of generalized ordered outcome model variants (widely known as Generalized Ordered Logit (GOL) model and Partial Proportional Odds Logit (PPO) model) in crash injury severity analysis, there are several aspects of these approaches that are not well documented in extant safety literature. The current research note presents the relationship between these two variants of generalized ordered outcome models and elaborates on model interpretation issues. While these variants arise from different mathematical approaches employed to enhance the traditional ordered outcome model, we establish that these are mathematically identical. We also discuss how one can facilitate estimation and interpretation while building on the ordered outcome model estimates - a useful process for practitioners considering upgrading their existing traditional ordered logit/probit injury severity models. Finally, the note presents the differences within GOL and PPO model frameworks, for accommodating the effect of unobserved heterogeneity, referred to as Mixed Generalized Ordered Logit (MGOL) and Mixed Partial Proportional Odds Logit (MPPO) models while also discussing the computational difficulties that may arise in estimating these models.","author":[{"dropping-particle":"","family":"Eluru","given":"Naveen","non-dropping-particle":"","parse-names":false,"suffix":""},{"dropping-particle":"","family":"Yasmin","given":"Shamsunnahar","non-dropping-particle":"","parse-names":false,"suffix":""}],"container-title":"Analytic Methods in Accident Research","id":"ITEM-1","issued":{"date-parts":[["2015"]]},"page":"1-6","publisher":"Elsevier","title":"A note on generalized ordered outcome models","type":"article-journal","volume":"8"},"uris":["http://www.mendeley.com/documents/?uuid=772cd8b8-68a2-4d05-891c-94e56676a5e3"]}],"mendeley":{"formattedCitation":"(Eluru and Yasmin 2015)","manualFormatting":"(Eluru and Yasmin 2015)","plainTextFormattedCitation":"(Eluru and Yasmin 2015)","previouslyFormattedCitation":"(Eluru and Yasmin 2015)"},"properties":{"noteIndex":0},"schema":"https://github.com/citation-style-language/schema/raw/master/csl-citation.json"}</w:instrText>
      </w:r>
      <w:r w:rsidR="001C5B18">
        <w:fldChar w:fldCharType="separate"/>
      </w:r>
      <w:r w:rsidR="001C5B18" w:rsidRPr="00D3189B">
        <w:rPr>
          <w:noProof/>
        </w:rPr>
        <w:t xml:space="preserve">(Eluru </w:t>
      </w:r>
      <w:r w:rsidR="009241A4">
        <w:rPr>
          <w:noProof/>
        </w:rPr>
        <w:t>and</w:t>
      </w:r>
      <w:r w:rsidR="001C5B18" w:rsidRPr="00D3189B">
        <w:rPr>
          <w:noProof/>
        </w:rPr>
        <w:t xml:space="preserve"> Yasmin 2015)</w:t>
      </w:r>
      <w:r w:rsidR="001C5B18">
        <w:fldChar w:fldCharType="end"/>
      </w:r>
      <w:r w:rsidR="001C5B18">
        <w:t xml:space="preserve">.  </w:t>
      </w:r>
      <w:r w:rsidR="004D1659">
        <w:t xml:space="preserve">In another </w:t>
      </w:r>
      <w:r w:rsidR="00C5631C">
        <w:t>context</w:t>
      </w:r>
      <w:r w:rsidR="00DC051A" w:rsidRPr="00B33254">
        <w:rPr>
          <w:rFonts w:cs="Times New Roman"/>
          <w:szCs w:val="24"/>
        </w:rPr>
        <w:t xml:space="preserve">, </w:t>
      </w:r>
      <w:r w:rsidR="00EC0536">
        <w:rPr>
          <w:rFonts w:cs="Times New Roman"/>
          <w:szCs w:val="24"/>
        </w:rPr>
        <w:t xml:space="preserve">consider that </w:t>
      </w:r>
      <w:r w:rsidR="00DC051A" w:rsidRPr="00B33254">
        <w:rPr>
          <w:rFonts w:cs="Times New Roman"/>
          <w:szCs w:val="24"/>
        </w:rPr>
        <w:t xml:space="preserve">an analyst </w:t>
      </w:r>
      <w:r w:rsidR="00EC0536">
        <w:rPr>
          <w:rFonts w:cs="Times New Roman"/>
          <w:szCs w:val="24"/>
        </w:rPr>
        <w:t>has access to</w:t>
      </w:r>
      <w:r w:rsidR="00B17C20">
        <w:rPr>
          <w:rFonts w:cs="Times New Roman"/>
          <w:szCs w:val="24"/>
        </w:rPr>
        <w:t xml:space="preserve"> a multi-year </w:t>
      </w:r>
      <w:r w:rsidR="00EC0536">
        <w:rPr>
          <w:rFonts w:cs="Times New Roman"/>
          <w:szCs w:val="24"/>
        </w:rPr>
        <w:t>air passenger demand</w:t>
      </w:r>
      <w:r w:rsidR="00DC051A" w:rsidRPr="00B33254">
        <w:rPr>
          <w:rFonts w:cs="Times New Roman"/>
          <w:szCs w:val="24"/>
        </w:rPr>
        <w:t xml:space="preserve"> </w:t>
      </w:r>
      <w:r w:rsidR="00B17C20">
        <w:rPr>
          <w:rFonts w:cs="Times New Roman"/>
          <w:szCs w:val="24"/>
        </w:rPr>
        <w:t xml:space="preserve">data </w:t>
      </w:r>
      <w:r w:rsidR="00DC051A" w:rsidRPr="00B33254">
        <w:rPr>
          <w:rFonts w:cs="Times New Roman"/>
          <w:szCs w:val="24"/>
        </w:rPr>
        <w:t>at the airport level and</w:t>
      </w:r>
      <w:r w:rsidR="00EC0536">
        <w:rPr>
          <w:rFonts w:cs="Times New Roman"/>
          <w:szCs w:val="24"/>
        </w:rPr>
        <w:t xml:space="preserve"> is interested in identifyi</w:t>
      </w:r>
      <w:r w:rsidR="00B17C20">
        <w:rPr>
          <w:rFonts w:cs="Times New Roman"/>
          <w:szCs w:val="24"/>
        </w:rPr>
        <w:t xml:space="preserve">ng </w:t>
      </w:r>
      <w:r w:rsidR="00DC051A" w:rsidRPr="00B33254">
        <w:rPr>
          <w:rFonts w:cs="Times New Roman"/>
          <w:szCs w:val="24"/>
        </w:rPr>
        <w:t xml:space="preserve">the key factors affecting the demand. </w:t>
      </w:r>
      <w:r w:rsidR="00B17C20">
        <w:rPr>
          <w:rFonts w:cs="Times New Roman"/>
          <w:szCs w:val="24"/>
        </w:rPr>
        <w:t xml:space="preserve">In this context, </w:t>
      </w:r>
      <w:r w:rsidR="00DC051A" w:rsidRPr="00B33254">
        <w:rPr>
          <w:rFonts w:cs="Times New Roman"/>
          <w:szCs w:val="24"/>
        </w:rPr>
        <w:t xml:space="preserve">airport specific factors such as number of terminals, service quality of terminals and intermodal transportation services affecting the demand at an airport are unobserved or missing in the dataset. </w:t>
      </w:r>
      <w:r w:rsidR="00B75E2B">
        <w:t xml:space="preserve">The unobserved factors can affect airline passenger demand at several resolutions such as airport, year, and airport-year </w:t>
      </w:r>
      <w:r w:rsidR="00B75E2B">
        <w:fldChar w:fldCharType="begin" w:fldLock="1"/>
      </w:r>
      <w:r w:rsidR="002126A5">
        <w:instrText>ADDIN CSL_CITATION {"citationItems":[{"id":"ITEM-1","itemData":{"DOI":"10.1016/j.jairtraman.2022.102320","ISSN":"09696997","abstract":"The current study proposes a novel modeling approach for modeling airline demand. Specifically, we develop a joint panel generalized ordered probit model system with observed thresholds for modeling air passenger arrivals and departures while accommodating for the influence of observed and unobserved effects on airline demand across multiple time periods. The proposed model is estimated using airline data compiled by Bureau of Transportation Statistics for 510 airports in the US at a quarterly level for five annual time points. A host of independent variables including demographic characteristics, built environment characteristics, spatial and temporal factors are considered. From the model estimation, the important factors affecting airline demand include metropolitan statistical area (MSA) population, median income, education attainment, airport location and temporal factors. A validation exercise is also performed using a holdout sample to highlight the superior performance of the proposed model. Finally, to illustrate how the proposed demand model allows agencies to understand changes to airline demand with changes to independent variables, a policy analysis is conducted.","author":[{"dropping-particle":"","family":"Tirtha","given":"Sudipta Dey","non-dropping-particle":"","parse-names":false,"suffix":""},{"dropping-particle":"","family":"Bhowmik","given":"Tanmoy","non-dropping-particle":"","parse-names":false,"suffix":""},{"dropping-particle":"","family":"Eluru","given":"Naveen","non-dropping-particle":"","parse-names":false,"suffix":""}],"container-title":"Journal of Air Transport Management","id":"ITEM-1","issue":"September 2022","issued":{"date-parts":[["2023"]]},"page":"102320","publisher":"Elsevier Ltd","title":"Understanding the factors affecting airport level demand (arrivals and departures) using a novel modeling approach","type":"article-journal","volume":"106"},"uris":["http://www.mendeley.com/documents/?uuid=d7eeb39d-8ae9-46db-a4a9-8ee5acda20d3"]}],"mendeley":{"formattedCitation":"(Tirtha et al. 2023)","manualFormatting":"(Tirtha et al. 2023)","plainTextFormattedCitation":"(Tirtha et al. 2023)","previouslyFormattedCitation":"(Tirtha et al. 2023)"},"properties":{"noteIndex":0},"schema":"https://github.com/citation-style-language/schema/raw/master/csl-citation.json"}</w:instrText>
      </w:r>
      <w:r w:rsidR="00B75E2B">
        <w:fldChar w:fldCharType="separate"/>
      </w:r>
      <w:r w:rsidR="00B75E2B" w:rsidRPr="00E25B68">
        <w:rPr>
          <w:noProof/>
        </w:rPr>
        <w:t>(Tirtha et al. 2023)</w:t>
      </w:r>
      <w:r w:rsidR="00B75E2B">
        <w:fldChar w:fldCharType="end"/>
      </w:r>
      <w:r w:rsidR="00B75E2B">
        <w:t xml:space="preserve">. The Mixed GOR framework includes additional parameters to account for the presence of such unobserved effects. </w:t>
      </w:r>
      <w:r w:rsidR="00B75E2B">
        <w:rPr>
          <w:rFonts w:cs="Times New Roman"/>
          <w:szCs w:val="24"/>
        </w:rPr>
        <w:t>S</w:t>
      </w:r>
      <w:r w:rsidR="00B75E2B" w:rsidRPr="00B33254">
        <w:rPr>
          <w:rFonts w:cs="Times New Roman"/>
          <w:szCs w:val="24"/>
        </w:rPr>
        <w:t xml:space="preserve">everal research efforts considered the </w:t>
      </w:r>
      <w:r w:rsidR="00B75E2B">
        <w:rPr>
          <w:rFonts w:cs="Times New Roman"/>
          <w:szCs w:val="24"/>
        </w:rPr>
        <w:t>impact</w:t>
      </w:r>
      <w:r w:rsidR="00B75E2B" w:rsidRPr="00B33254">
        <w:rPr>
          <w:rFonts w:cs="Times New Roman"/>
          <w:szCs w:val="24"/>
        </w:rPr>
        <w:t xml:space="preserve"> of unobserved factors in </w:t>
      </w:r>
      <w:r w:rsidR="00B75E2B">
        <w:rPr>
          <w:rFonts w:cs="Times New Roman"/>
          <w:szCs w:val="24"/>
        </w:rPr>
        <w:t xml:space="preserve">GOR </w:t>
      </w:r>
      <w:r w:rsidR="00B75E2B" w:rsidRPr="00B33254">
        <w:rPr>
          <w:rFonts w:cs="Times New Roman"/>
          <w:szCs w:val="24"/>
        </w:rPr>
        <w:t xml:space="preserve">modelling approach (please see </w:t>
      </w:r>
      <w:r w:rsidR="00AF1291" w:rsidRPr="00F826F7">
        <w:rPr>
          <w:rFonts w:cs="Times New Roman"/>
          <w:noProof/>
          <w:szCs w:val="24"/>
        </w:rPr>
        <w:t>Eluru</w:t>
      </w:r>
      <w:r w:rsidR="00AF1291">
        <w:rPr>
          <w:rFonts w:cs="Times New Roman"/>
          <w:noProof/>
          <w:szCs w:val="24"/>
        </w:rPr>
        <w:t xml:space="preserve"> et al.</w:t>
      </w:r>
      <w:r w:rsidR="00AF1291" w:rsidRPr="00F826F7">
        <w:rPr>
          <w:rFonts w:cs="Times New Roman"/>
          <w:noProof/>
          <w:szCs w:val="24"/>
        </w:rPr>
        <w:t xml:space="preserve"> 2008</w:t>
      </w:r>
      <w:r w:rsidR="00B75E2B" w:rsidRPr="00B33254">
        <w:rPr>
          <w:rFonts w:cs="Times New Roman"/>
          <w:noProof/>
          <w:szCs w:val="24"/>
        </w:rPr>
        <w:t xml:space="preserve">; </w:t>
      </w:r>
      <w:r w:rsidR="00B75E2B" w:rsidRPr="00B33254">
        <w:rPr>
          <w:rFonts w:cs="Times New Roman"/>
          <w:szCs w:val="24"/>
        </w:rPr>
        <w:fldChar w:fldCharType="begin" w:fldLock="1"/>
      </w:r>
      <w:r w:rsidR="002126A5">
        <w:rPr>
          <w:rFonts w:cs="Times New Roman"/>
          <w:szCs w:val="24"/>
        </w:rPr>
        <w:instrText>ADDIN CSL_CITATION {"citationItems":[{"id":"ITEM-1","itemData":{"DOI":"10.1016/j.amar.2018.09.001","ISSN":"22136657","abstract":"The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author":[{"dropping-particle":"","family":"Marcoux","given":"Robert","non-dropping-particle":"","parse-names":false,"suffix":""},{"dropping-particle":"","family":"Yasmin","given":"Shamsunnahar","non-dropping-particle":"","parse-names":false,"suffix":""},{"dropping-particle":"","family":"Eluru","given":"Naveen","non-dropping-particle":"","parse-names":false,"suffix":""},{"dropping-particle":"","family":"Rahman","given":"Moshiur","non-dropping-particle":"","parse-names":false,"suffix":""}],"container-title":"Analytic Methods in Accident Research","id":"ITEM-1","issue":"September","issued":{"date-parts":[["2018"]]},"page":"15-29","publisher":"Elsevier Ltd","title":"Evaluating temporal variability of exogenous variable impacts over 25 years: An application of scaled generalized ordered logit model for driver injury severity","type":"article-journal","volume":"20"},"uris":["http://www.mendeley.com/documents/?uuid=b91e3d61-bc4b-41b6-8b38-819564da1ba6"]}],"mendeley":{"formattedCitation":"(Marcoux et al. 2018)","manualFormatting":"Marcoux et al. 2018","plainTextFormattedCitation":"(Marcoux et al. 2018)","previouslyFormattedCitation":"(Marcoux et al. 2018)"},"properties":{"noteIndex":0},"schema":"https://github.com/citation-style-language/schema/raw/master/csl-citation.json"}</w:instrText>
      </w:r>
      <w:r w:rsidR="00B75E2B" w:rsidRPr="00B33254">
        <w:rPr>
          <w:rFonts w:cs="Times New Roman"/>
          <w:szCs w:val="24"/>
        </w:rPr>
        <w:fldChar w:fldCharType="separate"/>
      </w:r>
      <w:r w:rsidR="00B75E2B" w:rsidRPr="00B33254">
        <w:rPr>
          <w:rFonts w:cs="Times New Roman"/>
          <w:noProof/>
          <w:szCs w:val="24"/>
        </w:rPr>
        <w:t>Marcoux et al. 2018</w:t>
      </w:r>
      <w:r w:rsidR="00B75E2B" w:rsidRPr="00B33254">
        <w:rPr>
          <w:rFonts w:cs="Times New Roman"/>
          <w:szCs w:val="24"/>
        </w:rPr>
        <w:fldChar w:fldCharType="end"/>
      </w:r>
      <w:r w:rsidR="00B75E2B" w:rsidRPr="00B33254">
        <w:rPr>
          <w:rFonts w:cs="Times New Roman"/>
          <w:szCs w:val="24"/>
        </w:rPr>
        <w:t xml:space="preserve">; </w:t>
      </w:r>
      <w:r w:rsidR="00B75E2B" w:rsidRPr="00B33254">
        <w:rPr>
          <w:rFonts w:cs="Times New Roman"/>
          <w:szCs w:val="24"/>
        </w:rPr>
        <w:fldChar w:fldCharType="begin" w:fldLock="1"/>
      </w:r>
      <w:r w:rsidR="002126A5">
        <w:rPr>
          <w:rFonts w:cs="Times New Roman"/>
          <w:szCs w:val="24"/>
        </w:rPr>
        <w:instrText>ADDIN CSL_CITATION {"citationItems":[{"id":"ITEM-1","itemData":{"DOI":"10.1016/j.amar.2015.03.001","ISSN":"22136657","abstract":"Abstract In the United States, safety researchers have focused on examining fatal crashes (involving at least one fatally injured vehicle occupant) by using Fatality Analysis Reporting System (FARS) dataset. FARS database compiles crashes if at least one person involved in the crash dies within 30 consecutive days from the time of crash along with the exact timeline of the fatal occurrence. Previous studies using FARS dataset offer many useful insights on what factors affect crash related fatality, particularly in the context of fatal vs. non-fatal injury categorization. However, there is one aspect of fatal crashes that has received scarce attention in the traditional safety analysis. The studies that dichotomize crashes into fatal vs. non-fatal groups assume that all fatal crashes in the FARS dataset are similar. Keeping all else same, a fatal crash that results in an immediate fatality is clearly much more severe than another crash that leads to fatality after several days. Our study contributes to continuing research on fatal crashes. Specifically, rather than homogenizing all fatal crashes as the same, our study analyzes the fatal injury from a new perspective by examining fatality as a continuous spectrum based on survival time ranging from dying within 30 days of crash to dying instantly (as reported in the FARS data). The fatality continuum is represented as a discrete ordered dependent variable and analyzed using the mixed generalized ordered logit (MGOL) model. By doing so, we expect to provide a more accurate estimation of critical crash attributes that contribute to death. In modeling the discretized fatality timeline, the Emergency Medical Service (EMS) response time variable is an important determinant. However, it is possible that the EMS response time and fatality timeline are influenced by the same set of observed and unobserved factors, generating endogeneity in the outcome variable of interest. Hence, we propose to estimate a two equation model that comprises of a regression equation for EMS response time and MGOL for fatality continuum with residuals from the EMS model to correct for endogeneity bias on the effect of exogenous factors on the timeline of death. Such research attempts are useful in determining what factors affect the time between crash occurrence and time of death so that safety measures can be implemented to prolong survival. The model estimates are augmented by conducting elasticity analysis to highlight the importan…","author":[{"dropping-particle":"","family":"Yasmin","given":"Shamsunnahar","non-dropping-particle":"","parse-names":false,"suffix":""},{"dropping-particle":"","family":"Eluru","given":"Naveen","non-dropping-particle":"","parse-names":false,"suffix":""},{"dropping-particle":"","family":"Pinjari","given":"Abdul R.","non-dropping-particle":"","parse-names":false,"suffix":""}],"container-title":"Analytic Methods in Accident Research","id":"ITEM-1","issued":{"date-parts":[["2015"]]},"page":"1-15","publisher":"Elsevier","title":"Analyzing the continuum of fatal crashes: A generalized ordered approach","type":"article-journal","volume":"7"},"uris":["http://www.mendeley.com/documents/?uuid=ccbe71dd-2894-415b-9701-748f39afc609"]}],"mendeley":{"formattedCitation":"(Yasmin et al. 2015)","manualFormatting":"Yasmin et al. 2015","plainTextFormattedCitation":"(Yasmin et al. 2015)","previouslyFormattedCitation":"(Yasmin et al. 2015)"},"properties":{"noteIndex":0},"schema":"https://github.com/citation-style-language/schema/raw/master/csl-citation.json"}</w:instrText>
      </w:r>
      <w:r w:rsidR="00B75E2B" w:rsidRPr="00B33254">
        <w:rPr>
          <w:rFonts w:cs="Times New Roman"/>
          <w:szCs w:val="24"/>
        </w:rPr>
        <w:fldChar w:fldCharType="separate"/>
      </w:r>
      <w:r w:rsidR="00B75E2B" w:rsidRPr="00B33254">
        <w:rPr>
          <w:rFonts w:cs="Times New Roman"/>
          <w:noProof/>
          <w:szCs w:val="24"/>
        </w:rPr>
        <w:t>Yasmin et al. 2015</w:t>
      </w:r>
      <w:r w:rsidR="00B75E2B" w:rsidRPr="00B33254">
        <w:rPr>
          <w:rFonts w:cs="Times New Roman"/>
          <w:szCs w:val="24"/>
        </w:rPr>
        <w:fldChar w:fldCharType="end"/>
      </w:r>
      <w:r w:rsidR="00B75E2B" w:rsidRPr="00B33254">
        <w:rPr>
          <w:rFonts w:cs="Times New Roman"/>
          <w:szCs w:val="24"/>
        </w:rPr>
        <w:t xml:space="preserve">; </w:t>
      </w:r>
      <w:r w:rsidR="00B75E2B" w:rsidRPr="00B33254">
        <w:rPr>
          <w:rFonts w:cs="Times New Roman"/>
          <w:szCs w:val="24"/>
        </w:rPr>
        <w:fldChar w:fldCharType="begin" w:fldLock="1"/>
      </w:r>
      <w:r w:rsidR="002126A5">
        <w:rPr>
          <w:rFonts w:cs="Times New Roman"/>
          <w:szCs w:val="24"/>
        </w:rPr>
        <w:instrText>ADDIN CSL_CITATION {"citationItems":[{"id":"ITEM-1","itemData":{"DOI":"10.1016/j.amar.2018.09.003","ISSN":"22136657","abstract":"Mixed Generalized Ordered Response (MGOR) models, that allow random heterogeneity in thresholds, are widely used to model ordered outcomes such as accident injury severity. This study highlights a potential limitation of these models, as applied in most empirical research, that the variances of the random thresholds are implicitly assumed to be in a non-decreasing order. This restriction is unnecessary and can lead to difficulty in estimation of random parameters in higher order thresholds. In this study, we investigate the use of negative correlations between random parameters as a variance reduction technique to relax the property of non-decreasing variances of thresholds in MGOR models. To this end, a simulation-based approach was used (where multiple datasets were simulated assuming a known negative correlation structure between the true parameters), and two models were estimated on each dataset – one allowing correlations between random parameters and the other not allowing such correlations. Allowing negative correlations helped relax the non-decreasing variance property of MGOR models. However, maximum simulated likelihood estimation of parameters on data with correlations occasionally encountered model convergence and parameter identification issues. Comparison of the models that did converge suggests that ignoring correlations leads to an estimation of fewer random parameters in the higher order thresholds and results in bias and/or loss of precision for a few parameter estimates. However, ignoring correlations leads to an adjustment of other parameter estimates such that overall likelihood values, predicted percentage shares, and the marginal effects are similar to those from the models with correlations.","author":[{"dropping-particle":"","family":"Balusu","given":"Suryaprasanna Kumar","non-dropping-particle":"","parse-names":false,"suffix":""},{"dropping-particle":"","family":"Pinjari","given":"Abdul Rawoof","non-dropping-particle":"","parse-names":false,"suffix":""},{"dropping-particle":"","family":"Mannering","given":"Fred L.","non-dropping-particle":"","parse-names":false,"suffix":""},{"dropping-particle":"","family":"Eluru","given":"Naveen","non-dropping-particle":"","parse-names":false,"suffix":""}],"container-title":"Analytic Methods in Accident Research","id":"ITEM-1","issue":"October","issued":{"date-parts":[["2018"]]},"page":"46-67","publisher":"Elsevier Ltd","title":"Non-decreasing threshold variances in mixed generalized ordered response models: A negative correlations approach to variance reduction","type":"article-journal","volume":"20"},"uris":["http://www.mendeley.com/documents/?uuid=71f76f0f-561f-4dff-ab0b-6f38eceace0c"]}],"mendeley":{"formattedCitation":"(Balusu et al. 2018)","manualFormatting":"Balusu et al. 2018","plainTextFormattedCitation":"(Balusu et al. 2018)","previouslyFormattedCitation":"(Balusu et al. 2018)"},"properties":{"noteIndex":0},"schema":"https://github.com/citation-style-language/schema/raw/master/csl-citation.json"}</w:instrText>
      </w:r>
      <w:r w:rsidR="00B75E2B" w:rsidRPr="00B33254">
        <w:rPr>
          <w:rFonts w:cs="Times New Roman"/>
          <w:szCs w:val="24"/>
        </w:rPr>
        <w:fldChar w:fldCharType="separate"/>
      </w:r>
      <w:r w:rsidR="00B75E2B" w:rsidRPr="00B33254">
        <w:rPr>
          <w:rFonts w:cs="Times New Roman"/>
          <w:noProof/>
          <w:szCs w:val="24"/>
        </w:rPr>
        <w:t>Balusu et al. 2018</w:t>
      </w:r>
      <w:r w:rsidR="00B75E2B" w:rsidRPr="00B33254">
        <w:rPr>
          <w:rFonts w:cs="Times New Roman"/>
          <w:szCs w:val="24"/>
        </w:rPr>
        <w:fldChar w:fldCharType="end"/>
      </w:r>
      <w:r w:rsidR="00B75E2B" w:rsidRPr="00B33254">
        <w:rPr>
          <w:rFonts w:cs="Times New Roman"/>
          <w:szCs w:val="24"/>
        </w:rPr>
        <w:t xml:space="preserve">; </w:t>
      </w:r>
      <w:r w:rsidR="00AF1291" w:rsidRPr="00B33254">
        <w:rPr>
          <w:rFonts w:cs="Times New Roman"/>
          <w:noProof/>
          <w:szCs w:val="24"/>
        </w:rPr>
        <w:t xml:space="preserve">Balan </w:t>
      </w:r>
      <w:r w:rsidR="009241A4">
        <w:rPr>
          <w:rFonts w:cs="Times New Roman"/>
          <w:noProof/>
          <w:szCs w:val="24"/>
        </w:rPr>
        <w:t>and</w:t>
      </w:r>
      <w:r w:rsidR="00AF1291" w:rsidRPr="00B33254">
        <w:rPr>
          <w:rFonts w:cs="Times New Roman"/>
          <w:noProof/>
          <w:szCs w:val="24"/>
        </w:rPr>
        <w:t xml:space="preserve"> Paleti 2018</w:t>
      </w:r>
      <w:r w:rsidR="00B75E2B" w:rsidRPr="00B33254">
        <w:rPr>
          <w:rFonts w:cs="Times New Roman"/>
          <w:noProof/>
          <w:szCs w:val="24"/>
        </w:rPr>
        <w:t>;</w:t>
      </w:r>
      <w:r w:rsidR="00B75E2B" w:rsidRPr="00B33254">
        <w:rPr>
          <w:rFonts w:cs="Times New Roman"/>
          <w:szCs w:val="24"/>
        </w:rPr>
        <w:t xml:space="preserve"> </w:t>
      </w:r>
      <w:r w:rsidR="00B75E2B" w:rsidRPr="00B33254">
        <w:rPr>
          <w:rFonts w:cs="Times New Roman"/>
          <w:szCs w:val="24"/>
        </w:rPr>
        <w:fldChar w:fldCharType="begin" w:fldLock="1"/>
      </w:r>
      <w:r w:rsidR="002126A5">
        <w:rPr>
          <w:rFonts w:cs="Times New Roman"/>
          <w:szCs w:val="24"/>
        </w:rPr>
        <w:instrText>ADDIN CSL_CITATION {"citationItems":[{"id":"ITEM-1","itemData":{"DOI":"10.1080/23249935.2018.1564800","ISSN":"23249943","abstract":"The study develops a comprehensive and statistically valid framework to study the impact of new public transportation infrastructure (SunRail commuter train) on existing public transit infrastructure (Lynx bus) in the Orlando metropolitan region. The data for the study is drawn from bus ridership information for six 4-month time periods - 3 prior and 3 after SunRail began operations - allowing us to study time varying effects of SunRail on bus ridership. The current research formulates and estimates an innovative grouped ordered response structure for the ridership analysis. To measure the impact of commuter rail on stop level bus ridership (defined as boarding and alighting), the model system controls for a host of independent variables including stop level attributes, transportation infrastructure, transit infrastructure, land use, built environment, demographic and socioeconomic variables. The proposed model also accommodates for common unobserved factors affecting ridership as well as repeated ridership measures for each stop.","author":[{"dropping-particle":"","family":"Rahman","given":"Moshiur","non-dropping-particle":"","parse-names":false,"suffix":""},{"dropping-particle":"","family":"Yasmin","given":"Shamsunnahar","non-dropping-particle":"","parse-names":false,"suffix":""},{"dropping-particle":"","family":"Eluru","given":"Naveen","non-dropping-particle":"","parse-names":false,"suffix":""}],"container-title":"Transportmetrica A: Transport Science","id":"ITEM-1","issue":"2","issued":{"date-parts":[["2019"]]},"page":"1081-1101","title":"Evaluating the impact of a newly added commuter rail system on bus ridership: a grouped ordered logit model approach","type":"article-journal","volume":"15"},"uris":["http://www.mendeley.com/documents/?uuid=ba62bf22-693f-4777-a56f-e6e290f05dde"]}],"mendeley":{"formattedCitation":"(Rahman et al. 2019)","manualFormatting":"Rahman et al. 2019","plainTextFormattedCitation":"(Rahman et al. 2019)","previouslyFormattedCitation":"(Rahman et al. 2019)"},"properties":{"noteIndex":0},"schema":"https://github.com/citation-style-language/schema/raw/master/csl-citation.json"}</w:instrText>
      </w:r>
      <w:r w:rsidR="00B75E2B" w:rsidRPr="00B33254">
        <w:rPr>
          <w:rFonts w:cs="Times New Roman"/>
          <w:szCs w:val="24"/>
        </w:rPr>
        <w:fldChar w:fldCharType="separate"/>
      </w:r>
      <w:r w:rsidR="00B75E2B" w:rsidRPr="00B33254">
        <w:rPr>
          <w:rFonts w:cs="Times New Roman"/>
          <w:noProof/>
          <w:szCs w:val="24"/>
        </w:rPr>
        <w:t>Rahman et al. 2019</w:t>
      </w:r>
      <w:r w:rsidR="00B75E2B" w:rsidRPr="00B33254">
        <w:rPr>
          <w:rFonts w:cs="Times New Roman"/>
          <w:szCs w:val="24"/>
        </w:rPr>
        <w:fldChar w:fldCharType="end"/>
      </w:r>
      <w:r w:rsidR="00B75E2B" w:rsidRPr="00B33254">
        <w:rPr>
          <w:rFonts w:cs="Times New Roman"/>
          <w:szCs w:val="24"/>
        </w:rPr>
        <w:t xml:space="preserve">; </w:t>
      </w:r>
      <w:r w:rsidR="00B75E2B" w:rsidRPr="00B33254">
        <w:rPr>
          <w:rFonts w:cs="Times New Roman"/>
          <w:szCs w:val="24"/>
        </w:rPr>
        <w:fldChar w:fldCharType="begin" w:fldLock="1"/>
      </w:r>
      <w:r w:rsidR="002126A5">
        <w:rPr>
          <w:rFonts w:cs="Times New Roman"/>
          <w:szCs w:val="24"/>
        </w:rPr>
        <w:instrText>ADDIN CSL_CITATION {"citationItems":[{"id":"ITEM-1","itemData":{"DOI":"10.1016/j.jairtraman.2022.102320","ISSN":"09696997","abstract":"The current study proposes a novel modeling approach for modeling airline demand. Specifically, we develop a joint panel generalized ordered probit model system with observed thresholds for modeling air passenger arrivals and departures while accommodating for the influence of observed and unobserved effects on airline demand across multiple time periods. The proposed model is estimated using airline data compiled by Bureau of Transportation Statistics for 510 airports in the US at a quarterly level for five annual time points. A host of independent variables including demographic characteristics, built environment characteristics, spatial and temporal factors are considered. From the model estimation, the important factors affecting airline demand include metropolitan statistical area (MSA) population, median income, education attainment, airport location and temporal factors. A validation exercise is also performed using a holdout sample to highlight the superior performance of the proposed model. Finally, to illustrate how the proposed demand model allows agencies to understand changes to airline demand with changes to independent variables, a policy analysis is conducted.","author":[{"dropping-particle":"","family":"Tirtha","given":"Sudipta Dey","non-dropping-particle":"","parse-names":false,"suffix":""},{"dropping-particle":"","family":"Bhowmik","given":"Tanmoy","non-dropping-particle":"","parse-names":false,"suffix":""},{"dropping-particle":"","family":"Eluru","given":"Naveen","non-dropping-particle":"","parse-names":false,"suffix":""}],"container-title":"Journal of Air Transport Management","id":"ITEM-1","issue":"September 2022","issued":{"date-parts":[["2023"]]},"page":"102320","publisher":"Elsevier Ltd","title":"Understanding the factors affecting airport level demand (arrivals and departures) using a novel modeling approach","type":"article-journal","volume":"106"},"uris":["http://www.mendeley.com/documents/?uuid=d7eeb39d-8ae9-46db-a4a9-8ee5acda20d3"]}],"mendeley":{"formattedCitation":"(Tirtha et al. 2023)","manualFormatting":"Tirtha et al. 2023","plainTextFormattedCitation":"(Tirtha et al. 2023)","previouslyFormattedCitation":"(Tirtha et al. 2023)"},"properties":{"noteIndex":0},"schema":"https://github.com/citation-style-language/schema/raw/master/csl-citation.json"}</w:instrText>
      </w:r>
      <w:r w:rsidR="00B75E2B" w:rsidRPr="00B33254">
        <w:rPr>
          <w:rFonts w:cs="Times New Roman"/>
          <w:szCs w:val="24"/>
        </w:rPr>
        <w:fldChar w:fldCharType="separate"/>
      </w:r>
      <w:r w:rsidR="00B75E2B" w:rsidRPr="00B33254">
        <w:rPr>
          <w:rFonts w:cs="Times New Roman"/>
          <w:noProof/>
          <w:szCs w:val="24"/>
        </w:rPr>
        <w:t>Tirtha et al. 2023</w:t>
      </w:r>
      <w:r w:rsidR="00B75E2B" w:rsidRPr="00B33254">
        <w:rPr>
          <w:rFonts w:cs="Times New Roman"/>
          <w:szCs w:val="24"/>
        </w:rPr>
        <w:fldChar w:fldCharType="end"/>
      </w:r>
      <w:r w:rsidR="00B75E2B" w:rsidRPr="00B33254">
        <w:rPr>
          <w:rFonts w:cs="Times New Roman"/>
          <w:szCs w:val="24"/>
        </w:rPr>
        <w:t xml:space="preserve">). </w:t>
      </w:r>
      <w:r w:rsidR="00B75E2B">
        <w:t xml:space="preserve">In this section, we will present MGOR model structure that </w:t>
      </w:r>
      <w:r w:rsidR="00944892">
        <w:t xml:space="preserve">allows us to incorporate </w:t>
      </w:r>
      <w:r w:rsidR="00B75E2B">
        <w:t xml:space="preserve">the </w:t>
      </w:r>
      <w:r w:rsidR="00121485">
        <w:t xml:space="preserve">potential </w:t>
      </w:r>
      <w:r w:rsidR="00B75E2B">
        <w:t xml:space="preserve">effect of </w:t>
      </w:r>
      <w:r w:rsidR="00B75E2B" w:rsidRPr="00DA78F8">
        <w:rPr>
          <w:rFonts w:cs="Times New Roman"/>
        </w:rPr>
        <w:t>unobserved factors</w:t>
      </w:r>
      <w:r w:rsidR="00121485">
        <w:rPr>
          <w:rFonts w:cs="Times New Roman"/>
        </w:rPr>
        <w:t>/variables</w:t>
      </w:r>
      <w:r w:rsidR="00B75E2B" w:rsidRPr="00DA78F8">
        <w:rPr>
          <w:rFonts w:cs="Times New Roman"/>
        </w:rPr>
        <w:t xml:space="preserve"> on </w:t>
      </w:r>
      <w:r w:rsidR="00121485">
        <w:rPr>
          <w:rFonts w:cs="Times New Roman"/>
        </w:rPr>
        <w:t xml:space="preserve">the </w:t>
      </w:r>
      <w:r w:rsidR="00B75E2B" w:rsidRPr="00DA78F8">
        <w:rPr>
          <w:rFonts w:cs="Times New Roman"/>
        </w:rPr>
        <w:t xml:space="preserve">dependent variable. </w:t>
      </w:r>
    </w:p>
    <w:p w14:paraId="0F329DBE" w14:textId="05D2FAB6" w:rsidR="00B75E2B" w:rsidRDefault="00B75E2B" w:rsidP="00731339">
      <w:pPr>
        <w:spacing w:after="0"/>
        <w:jc w:val="both"/>
        <w:rPr>
          <w:rFonts w:cs="Times New Roman"/>
          <w:szCs w:val="24"/>
        </w:rPr>
      </w:pPr>
    </w:p>
    <w:p w14:paraId="1EC58E23" w14:textId="56893021" w:rsidR="00386F57" w:rsidRPr="00DA78F8" w:rsidRDefault="00104FE5" w:rsidP="00C52F51">
      <w:pPr>
        <w:ind w:firstLine="720"/>
        <w:jc w:val="both"/>
        <w:rPr>
          <w:rFonts w:cs="Times New Roman"/>
          <w:szCs w:val="24"/>
        </w:rPr>
      </w:pPr>
      <w:r w:rsidRPr="00DA78F8">
        <w:rPr>
          <w:rFonts w:cs="Times New Roman"/>
          <w:szCs w:val="24"/>
        </w:rPr>
        <w:t xml:space="preserve">Let </w:t>
      </w:r>
      <m:oMath>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i</m:t>
            </m:r>
          </m:sub>
        </m:sSub>
      </m:oMath>
      <w:r w:rsidRPr="00DA78F8">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γ</m:t>
            </m:r>
          </m:e>
          <m:sub>
            <m:r>
              <w:rPr>
                <w:rFonts w:ascii="Cambria Math" w:hAnsi="Cambria Math" w:cs="Times New Roman"/>
                <w:szCs w:val="24"/>
              </w:rPr>
              <m:t>ij</m:t>
            </m:r>
          </m:sub>
        </m:sSub>
      </m:oMath>
      <w:r w:rsidRPr="00DA78F8">
        <w:rPr>
          <w:rFonts w:cs="Times New Roman"/>
          <w:szCs w:val="24"/>
        </w:rPr>
        <w:t xml:space="preserve"> </w:t>
      </w:r>
      <w:r w:rsidR="00121485">
        <w:rPr>
          <w:rFonts w:cs="Times New Roman"/>
          <w:szCs w:val="24"/>
        </w:rPr>
        <w:t>be</w:t>
      </w:r>
      <w:r w:rsidR="00121485" w:rsidRPr="00DA78F8">
        <w:rPr>
          <w:rFonts w:cs="Times New Roman"/>
          <w:szCs w:val="24"/>
        </w:rPr>
        <w:t xml:space="preserve"> </w:t>
      </w:r>
      <w:r w:rsidRPr="00DA78F8">
        <w:rPr>
          <w:rFonts w:cs="Times New Roman"/>
          <w:szCs w:val="24"/>
        </w:rPr>
        <w:t xml:space="preserve">two column vectors representing the </w:t>
      </w:r>
      <w:r w:rsidR="00924F2C">
        <w:rPr>
          <w:rFonts w:cs="Times New Roman"/>
          <w:szCs w:val="24"/>
        </w:rPr>
        <w:t xml:space="preserve">vectors of </w:t>
      </w:r>
      <w:r w:rsidRPr="00DA78F8">
        <w:rPr>
          <w:rFonts w:cs="Times New Roman"/>
          <w:szCs w:val="24"/>
        </w:rPr>
        <w:t>unobserved factors</w:t>
      </w:r>
      <w:r w:rsidR="00386F57" w:rsidRPr="00DA78F8">
        <w:rPr>
          <w:rFonts w:cs="Times New Roman"/>
          <w:szCs w:val="24"/>
        </w:rPr>
        <w:t xml:space="preserve"> modifying the effect of independent variables</w:t>
      </w:r>
      <w:r w:rsidRPr="00DA78F8">
        <w:rPr>
          <w:rFonts w:cs="Times New Roman"/>
          <w:szCs w:val="24"/>
        </w:rPr>
        <w:t xml:space="preserve"> </w:t>
      </w:r>
      <w:r w:rsidR="00386F57" w:rsidRPr="00DA78F8">
        <w:rPr>
          <w:rFonts w:cs="Times New Roman"/>
          <w:szCs w:val="24"/>
        </w:rPr>
        <w:t>for</w:t>
      </w:r>
      <w:r w:rsidRPr="00DA78F8">
        <w:rPr>
          <w:rFonts w:cs="Times New Roman"/>
          <w:szCs w:val="24"/>
        </w:rPr>
        <w:t xml:space="preserve"> observation </w:t>
      </w:r>
      <m:oMath>
        <m:r>
          <w:rPr>
            <w:rFonts w:ascii="Cambria Math" w:hAnsi="Cambria Math" w:cs="Times New Roman"/>
            <w:szCs w:val="24"/>
          </w:rPr>
          <m:t>i</m:t>
        </m:r>
      </m:oMath>
      <w:r w:rsidRPr="00DA78F8">
        <w:rPr>
          <w:rFonts w:cs="Times New Roman"/>
          <w:szCs w:val="24"/>
        </w:rPr>
        <w:t xml:space="preserve"> in equation </w:t>
      </w:r>
      <w:r w:rsidR="0091122B">
        <w:rPr>
          <w:rFonts w:cs="Times New Roman"/>
          <w:szCs w:val="24"/>
        </w:rPr>
        <w:t>(</w:t>
      </w:r>
      <w:r w:rsidRPr="00DA78F8">
        <w:rPr>
          <w:rFonts w:cs="Times New Roman"/>
          <w:szCs w:val="24"/>
        </w:rPr>
        <w:t>1</w:t>
      </w:r>
      <w:r w:rsidR="0091122B">
        <w:rPr>
          <w:rFonts w:cs="Times New Roman"/>
          <w:szCs w:val="24"/>
        </w:rPr>
        <w:t>)</w:t>
      </w:r>
      <w:r w:rsidRPr="00DA78F8">
        <w:rPr>
          <w:rFonts w:cs="Times New Roman"/>
          <w:szCs w:val="24"/>
        </w:rPr>
        <w:t xml:space="preserve"> and </w:t>
      </w:r>
      <w:r w:rsidR="00C563F6">
        <w:rPr>
          <w:rFonts w:cs="Times New Roman"/>
          <w:szCs w:val="24"/>
        </w:rPr>
        <w:t>(5)</w:t>
      </w:r>
      <w:r w:rsidRPr="00DA78F8">
        <w:rPr>
          <w:rFonts w:cs="Times New Roman"/>
          <w:szCs w:val="24"/>
        </w:rPr>
        <w:t>, respectively.</w:t>
      </w:r>
      <w:r w:rsidR="00386F57" w:rsidRPr="00DA78F8">
        <w:rPr>
          <w:rFonts w:cs="Times New Roman"/>
          <w:szCs w:val="24"/>
        </w:rPr>
        <w:t xml:space="preserve"> </w:t>
      </w:r>
      <m:oMath>
        <m:sSub>
          <m:sSubPr>
            <m:ctrlPr>
              <w:rPr>
                <w:rFonts w:ascii="Cambria Math" w:hAnsi="Cambria Math" w:cs="Times New Roman"/>
                <w:i/>
                <w:iCs/>
                <w:szCs w:val="24"/>
              </w:rPr>
            </m:ctrlPr>
          </m:sSubPr>
          <m:e>
            <m:r>
              <w:rPr>
                <w:rFonts w:ascii="Cambria Math" w:hAnsi="Cambria Math" w:cs="Times New Roman"/>
                <w:szCs w:val="24"/>
              </w:rPr>
              <m:t>η</m:t>
            </m:r>
          </m:e>
          <m:sub>
            <m:r>
              <w:rPr>
                <w:rFonts w:ascii="Cambria Math" w:hAnsi="Cambria Math" w:cs="Times New Roman"/>
                <w:szCs w:val="24"/>
              </w:rPr>
              <m:t>k</m:t>
            </m:r>
          </m:sub>
        </m:sSub>
      </m:oMath>
      <w:r w:rsidR="00E27CE1" w:rsidRPr="00DA78F8">
        <w:rPr>
          <w:rFonts w:cs="Times New Roman"/>
          <w:szCs w:val="24"/>
        </w:rPr>
        <w:t xml:space="preserve"> represents the vector of </w:t>
      </w:r>
      <w:r w:rsidR="00924F2C">
        <w:rPr>
          <w:rFonts w:cs="Times New Roman"/>
          <w:szCs w:val="24"/>
        </w:rPr>
        <w:t>parameters/</w:t>
      </w:r>
      <w:r w:rsidR="00E27CE1" w:rsidRPr="00DA78F8">
        <w:rPr>
          <w:rFonts w:cs="Times New Roman"/>
          <w:szCs w:val="24"/>
        </w:rPr>
        <w:t xml:space="preserve">coefficients representing the impact of </w:t>
      </w:r>
      <w:r w:rsidR="00924F2C">
        <w:rPr>
          <w:rFonts w:cs="Times New Roman"/>
          <w:szCs w:val="24"/>
        </w:rPr>
        <w:t xml:space="preserve">these </w:t>
      </w:r>
      <w:r w:rsidR="00E27CE1" w:rsidRPr="00DA78F8">
        <w:rPr>
          <w:rFonts w:cs="Times New Roman"/>
          <w:szCs w:val="24"/>
        </w:rPr>
        <w:t xml:space="preserve">unobserved factors influencing outcome variable across repetition level </w:t>
      </w:r>
      <m:oMath>
        <m:r>
          <w:rPr>
            <w:rFonts w:ascii="Cambria Math" w:hAnsi="Cambria Math" w:cs="Times New Roman"/>
            <w:szCs w:val="24"/>
          </w:rPr>
          <m:t>k</m:t>
        </m:r>
      </m:oMath>
      <w:r w:rsidR="00E27CE1" w:rsidRPr="00DA78F8">
        <w:rPr>
          <w:rFonts w:cs="Times New Roman"/>
          <w:szCs w:val="24"/>
        </w:rPr>
        <w:t xml:space="preserve">. </w:t>
      </w:r>
      <w:r w:rsidR="00386F57" w:rsidRPr="00DA78F8">
        <w:rPr>
          <w:rFonts w:cs="Times New Roman"/>
          <w:szCs w:val="24"/>
        </w:rPr>
        <w:t>Therefor</w:t>
      </w:r>
      <w:r w:rsidR="00E27CE1" w:rsidRPr="00DA78F8">
        <w:rPr>
          <w:rFonts w:cs="Times New Roman"/>
          <w:szCs w:val="24"/>
        </w:rPr>
        <w:t>e</w:t>
      </w:r>
      <w:r w:rsidR="00386F57" w:rsidRPr="00DA78F8">
        <w:rPr>
          <w:rFonts w:cs="Times New Roman"/>
          <w:szCs w:val="24"/>
        </w:rPr>
        <w:t>, we can rewrite the propensity and threshold functions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2"/>
        <w:gridCol w:w="1168"/>
      </w:tblGrid>
      <w:tr w:rsidR="00386F57" w14:paraId="1104B3BF" w14:textId="77777777" w:rsidTr="00386F57">
        <w:tc>
          <w:tcPr>
            <w:tcW w:w="8388" w:type="dxa"/>
          </w:tcPr>
          <w:p w14:paraId="4D68C4D9" w14:textId="1CC742BC" w:rsidR="00386F57" w:rsidRDefault="006633EA" w:rsidP="00A1133D">
            <w:pPr>
              <w:spacing w:before="240"/>
              <w:rPr>
                <w:szCs w:val="24"/>
              </w:rPr>
            </w:pPr>
            <m:oMath>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r>
                <w:rPr>
                  <w:rFonts w:ascii="Cambria Math"/>
                  <w:szCs w:val="24"/>
                </w:rPr>
                <m:t>=</m:t>
              </m:r>
              <m:sSub>
                <m:sSubPr>
                  <m:ctrlPr>
                    <w:rPr>
                      <w:rFonts w:ascii="Cambria Math" w:hAnsi="Cambria Math"/>
                      <w:i/>
                      <w:szCs w:val="24"/>
                    </w:rPr>
                  </m:ctrlPr>
                </m:sSubPr>
                <m:e>
                  <m:r>
                    <w:rPr>
                      <w:rFonts w:ascii="Cambria Math" w:hAnsi="Cambria Math"/>
                      <w:szCs w:val="24"/>
                    </w:rPr>
                    <m:t>(</m:t>
                  </m:r>
                  <m:r>
                    <w:rPr>
                      <w:rFonts w:ascii="Cambria Math" w:hAnsi="Cambria Math"/>
                      <w:szCs w:val="24"/>
                    </w:rPr>
                    <m:t>X</m:t>
                  </m:r>
                </m:e>
                <m:sub>
                  <m:r>
                    <w:rPr>
                      <w:rFonts w:ascii="Cambria Math"/>
                      <w:szCs w:val="24"/>
                    </w:rPr>
                    <m:t>i</m:t>
                  </m:r>
                </m:sub>
              </m:sSub>
              <m:r>
                <w:rPr>
                  <w:rFonts w:ascii="Cambria Math"/>
                  <w:szCs w:val="24"/>
                </w:rPr>
                <m:t>+</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i</m:t>
                  </m:r>
                </m:sub>
              </m:sSub>
              <m:r>
                <w:rPr>
                  <w:rFonts w:ascii="Cambria Math"/>
                  <w:szCs w:val="24"/>
                </w:rPr>
                <m:t>)</m:t>
              </m:r>
              <m:r>
                <w:rPr>
                  <w:rFonts w:ascii="Cambria Math"/>
                  <w:szCs w:val="24"/>
                </w:rPr>
                <m:t>β</m:t>
              </m:r>
              <m:r>
                <w:rPr>
                  <w:rFonts w:ascii="Cambria Math"/>
                  <w:szCs w:val="24"/>
                </w:rPr>
                <m:t>+</m:t>
              </m:r>
              <m:sSub>
                <m:sSubPr>
                  <m:ctrlPr>
                    <w:rPr>
                      <w:rFonts w:ascii="Cambria Math" w:hAnsi="Cambria Math" w:cs="Times New Roman"/>
                      <w:szCs w:val="24"/>
                    </w:rPr>
                  </m:ctrlPr>
                </m:sSubPr>
                <m:e>
                  <m:r>
                    <m:rPr>
                      <m:sty m:val="p"/>
                    </m:rPr>
                    <w:rPr>
                      <w:rFonts w:ascii="Cambria Math" w:hAnsi="Cambria Math" w:cs="Times New Roman"/>
                      <w:szCs w:val="24"/>
                    </w:rPr>
                    <m:t>(</m:t>
                  </m:r>
                  <m:r>
                    <w:rPr>
                      <w:rFonts w:ascii="Cambria Math" w:hAnsi="Cambria Math" w:cs="Times New Roman"/>
                      <w:szCs w:val="24"/>
                    </w:rPr>
                    <m:t>η</m:t>
                  </m:r>
                </m:e>
                <m:sub>
                  <m:r>
                    <w:rPr>
                      <w:rFonts w:ascii="Cambria Math" w:cs="Times New Roman"/>
                      <w:szCs w:val="24"/>
                    </w:rPr>
                    <m:t>k</m:t>
                  </m:r>
                </m:sub>
              </m:sSub>
              <m:r>
                <w:rPr>
                  <w:rFonts w:ascii="Cambria Math" w:cs="Times New Roman"/>
                  <w:szCs w:val="24"/>
                </w:rPr>
                <m:t>)</m:t>
              </m:r>
              <m:sSub>
                <m:sSubPr>
                  <m:ctrlPr>
                    <w:rPr>
                      <w:rFonts w:ascii="Cambria Math" w:hAnsi="Cambria Math" w:cs="Times New Roman"/>
                      <w:i/>
                      <w:szCs w:val="24"/>
                    </w:rPr>
                  </m:ctrlPr>
                </m:sSubPr>
                <m:e>
                  <m:r>
                    <w:rPr>
                      <w:rFonts w:ascii="Cambria Math" w:cs="Times New Roman"/>
                      <w:szCs w:val="24"/>
                    </w:rPr>
                    <m:t>X</m:t>
                  </m:r>
                </m:e>
                <m:sub>
                  <m:r>
                    <w:rPr>
                      <w:rFonts w:ascii="Cambria Math" w:cs="Times New Roman"/>
                      <w:szCs w:val="24"/>
                    </w:rPr>
                    <m:t>i</m:t>
                  </m:r>
                </m:sub>
              </m:sSub>
              <m:sSub>
                <m:sSubPr>
                  <m:ctrlPr>
                    <w:rPr>
                      <w:rFonts w:ascii="Cambria Math" w:hAnsi="Cambria Math"/>
                      <w:i/>
                      <w:szCs w:val="24"/>
                    </w:rPr>
                  </m:ctrlPr>
                </m:sSubPr>
                <m:e>
                  <m:r>
                    <w:rPr>
                      <w:rFonts w:ascii="Cambria Math"/>
                      <w:szCs w:val="24"/>
                    </w:rPr>
                    <m:t xml:space="preserve">+ </m:t>
                  </m:r>
                  <m:r>
                    <w:rPr>
                      <w:rFonts w:ascii="Cambria Math"/>
                      <w:szCs w:val="24"/>
                    </w:rPr>
                    <m:t>ε</m:t>
                  </m:r>
                </m:e>
                <m:sub>
                  <m:r>
                    <w:rPr>
                      <w:rFonts w:ascii="Cambria Math"/>
                      <w:szCs w:val="24"/>
                    </w:rPr>
                    <m:t>i</m:t>
                  </m:r>
                </m:sub>
              </m:sSub>
            </m:oMath>
            <w:r w:rsidR="00386F57" w:rsidRPr="00E27CE1">
              <w:rPr>
                <w:i/>
                <w:szCs w:val="24"/>
              </w:rPr>
              <w:t>,</w:t>
            </w:r>
            <w:r w:rsidR="00386F57">
              <w:rPr>
                <w:i/>
                <w:szCs w:val="24"/>
              </w:rPr>
              <w:t xml:space="preserve"> for </w:t>
            </w:r>
            <m:oMath>
              <m:r>
                <w:rPr>
                  <w:rFonts w:ascii="Cambria Math"/>
                  <w:szCs w:val="24"/>
                </w:rPr>
                <m:t>i</m:t>
              </m:r>
              <m:r>
                <w:rPr>
                  <w:rFonts w:ascii="Cambria Math"/>
                  <w:szCs w:val="24"/>
                </w:rPr>
                <m:t>=1, 2,</m:t>
              </m:r>
              <m:r>
                <w:rPr>
                  <w:rFonts w:ascii="Cambria Math"/>
                  <w:szCs w:val="24"/>
                </w:rPr>
                <m:t>………</m:t>
              </m:r>
              <m:r>
                <w:rPr>
                  <w:rFonts w:ascii="Cambria Math"/>
                  <w:szCs w:val="24"/>
                </w:rPr>
                <m:t xml:space="preserve">, </m:t>
              </m:r>
            </m:oMath>
            <w:r w:rsidR="00386F57">
              <w:rPr>
                <w:i/>
                <w:szCs w:val="24"/>
              </w:rPr>
              <w:t>N</w:t>
            </w:r>
          </w:p>
        </w:tc>
        <w:tc>
          <w:tcPr>
            <w:tcW w:w="1188" w:type="dxa"/>
          </w:tcPr>
          <w:p w14:paraId="4754887B" w14:textId="6751C4F2" w:rsidR="00386F57" w:rsidRDefault="00386F57" w:rsidP="00A1133D">
            <w:pPr>
              <w:spacing w:before="240"/>
              <w:jc w:val="right"/>
              <w:rPr>
                <w:szCs w:val="24"/>
              </w:rPr>
            </w:pPr>
            <w:r>
              <w:rPr>
                <w:szCs w:val="24"/>
              </w:rPr>
              <w:t>(</w:t>
            </w:r>
            <w:r w:rsidR="00C563F6">
              <w:rPr>
                <w:szCs w:val="24"/>
              </w:rPr>
              <w:t>7</w:t>
            </w:r>
            <w:r>
              <w:rPr>
                <w:szCs w:val="24"/>
              </w:rPr>
              <w:t>)</w:t>
            </w:r>
          </w:p>
        </w:tc>
      </w:tr>
      <w:tr w:rsidR="00386F57" w14:paraId="383A2D98" w14:textId="77777777" w:rsidTr="00386F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88" w:type="dxa"/>
            <w:tcBorders>
              <w:top w:val="nil"/>
              <w:left w:val="nil"/>
              <w:bottom w:val="nil"/>
              <w:right w:val="nil"/>
            </w:tcBorders>
          </w:tcPr>
          <w:p w14:paraId="56B7AA26" w14:textId="434EF367" w:rsidR="00386F57" w:rsidRPr="00E360F0" w:rsidRDefault="006633EA" w:rsidP="00A1133D">
            <w:pPr>
              <w:spacing w:before="240"/>
              <w:rPr>
                <w:szCs w:val="24"/>
              </w:rPr>
            </w:pPr>
            <m:oMathPara>
              <m:oMathParaPr>
                <m:jc m:val="left"/>
              </m:oMathParaPr>
              <m:oMath>
                <m:sSub>
                  <m:sSubPr>
                    <m:ctrlPr>
                      <w:rPr>
                        <w:rFonts w:ascii="Cambria Math" w:hAnsi="Cambria Math"/>
                        <w:i/>
                        <w:szCs w:val="24"/>
                      </w:rPr>
                    </m:ctrlPr>
                  </m:sSubPr>
                  <m:e>
                    <m:r>
                      <w:rPr>
                        <w:rFonts w:ascii="Cambria Math"/>
                        <w:szCs w:val="24"/>
                      </w:rPr>
                      <m:t>τ</m:t>
                    </m:r>
                  </m:e>
                  <m:sub>
                    <m:r>
                      <w:rPr>
                        <w:rFonts w:ascii="Cambria Math"/>
                        <w:szCs w:val="24"/>
                      </w:rPr>
                      <m:t>i</m:t>
                    </m:r>
                    <m:r>
                      <w:rPr>
                        <w:rFonts w:ascii="Cambria Math"/>
                        <w:szCs w:val="24"/>
                      </w:rPr>
                      <m:t>,</m:t>
                    </m:r>
                    <m:r>
                      <w:rPr>
                        <w:rFonts w:ascii="Cambria Math"/>
                        <w:szCs w:val="24"/>
                      </w:rPr>
                      <m:t>j</m:t>
                    </m:r>
                  </m:sub>
                </m:sSub>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j</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m:t>
                        </m:r>
                        <m:r>
                          <w:rPr>
                            <w:rFonts w:ascii="Cambria Math" w:hAnsi="Cambria Math"/>
                            <w:szCs w:val="24"/>
                          </w:rPr>
                          <m:t>δ</m:t>
                        </m:r>
                      </m:e>
                      <m:sub>
                        <m:r>
                          <w:rPr>
                            <w:rFonts w:ascii="Cambria Math"/>
                            <w:szCs w:val="24"/>
                          </w:rPr>
                          <m:t>j</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r>
                      <w:rPr>
                        <w:rFonts w:ascii="Cambria Math" w:hAnsi="Cambria Math"/>
                        <w:szCs w:val="24"/>
                      </w:rPr>
                      <m:t>)</m:t>
                    </m:r>
                    <m:r>
                      <w:rPr>
                        <w:rFonts w:ascii="Cambria Math" w:hAnsi="Cambria Math"/>
                        <w:szCs w:val="24"/>
                      </w:rPr>
                      <m:t>Z</m:t>
                    </m:r>
                  </m:e>
                  <m:sub>
                    <m:r>
                      <w:rPr>
                        <w:rFonts w:ascii="Cambria Math"/>
                        <w:szCs w:val="24"/>
                      </w:rPr>
                      <m:t>i</m:t>
                    </m:r>
                  </m:sub>
                </m:sSub>
              </m:oMath>
            </m:oMathPara>
          </w:p>
        </w:tc>
        <w:tc>
          <w:tcPr>
            <w:tcW w:w="1188" w:type="dxa"/>
            <w:tcBorders>
              <w:top w:val="nil"/>
              <w:left w:val="nil"/>
              <w:bottom w:val="nil"/>
              <w:right w:val="nil"/>
            </w:tcBorders>
          </w:tcPr>
          <w:p w14:paraId="5F075AFB" w14:textId="33CB7CDF" w:rsidR="00386F57" w:rsidRDefault="00386F57" w:rsidP="00A1133D">
            <w:pPr>
              <w:spacing w:before="240"/>
              <w:jc w:val="right"/>
              <w:rPr>
                <w:szCs w:val="24"/>
              </w:rPr>
            </w:pPr>
            <w:r>
              <w:rPr>
                <w:szCs w:val="24"/>
              </w:rPr>
              <w:t>(</w:t>
            </w:r>
            <w:r w:rsidR="00C563F6">
              <w:rPr>
                <w:szCs w:val="24"/>
              </w:rPr>
              <w:t>8</w:t>
            </w:r>
            <w:r>
              <w:rPr>
                <w:szCs w:val="24"/>
              </w:rPr>
              <w:t>)</w:t>
            </w:r>
          </w:p>
        </w:tc>
      </w:tr>
    </w:tbl>
    <w:p w14:paraId="776B1EEC" w14:textId="77777777" w:rsidR="002B6A42" w:rsidRDefault="002B6A42" w:rsidP="007E06D5">
      <w:pPr>
        <w:spacing w:after="0"/>
        <w:jc w:val="both"/>
        <w:rPr>
          <w:szCs w:val="24"/>
        </w:rPr>
      </w:pPr>
    </w:p>
    <w:p w14:paraId="41070797" w14:textId="1DBB6A67" w:rsidR="007E06D5" w:rsidRDefault="00452916" w:rsidP="00C52F51">
      <w:pPr>
        <w:spacing w:after="0"/>
        <w:ind w:firstLine="720"/>
        <w:jc w:val="both"/>
        <w:rPr>
          <w:rFonts w:eastAsiaTheme="minorEastAsia"/>
          <w:szCs w:val="24"/>
        </w:rPr>
      </w:pPr>
      <w:r>
        <w:rPr>
          <w:szCs w:val="24"/>
        </w:rPr>
        <w:t>However, i</w:t>
      </w:r>
      <w:r w:rsidR="008222FE">
        <w:rPr>
          <w:szCs w:val="24"/>
        </w:rPr>
        <w:t xml:space="preserve">n ordered model framework, it is important to maintain non-negativity of the probabilities of ordered outcomes. To ensure non-negativity condition, it is necessary that </w:t>
      </w:r>
      <m:oMath>
        <m:sSub>
          <m:sSubPr>
            <m:ctrlPr>
              <w:rPr>
                <w:rFonts w:ascii="Cambria Math" w:hAnsi="Cambria Math"/>
                <w:i/>
                <w:szCs w:val="24"/>
              </w:rPr>
            </m:ctrlPr>
          </m:sSubPr>
          <m:e>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j</m:t>
                    </m:r>
                  </m:sub>
                </m:sSub>
                <m:r>
                  <w:rPr>
                    <w:rFonts w:ascii="Cambria Math" w:hAnsi="Cambria Math"/>
                    <w:szCs w:val="24"/>
                  </w:rPr>
                  <m:t>+(δ</m:t>
                </m:r>
              </m:e>
              <m:sub>
                <m:r>
                  <w:rPr>
                    <w:rFonts w:ascii="Cambria Math"/>
                    <w:szCs w:val="24"/>
                  </w:rPr>
                  <m:t>j</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r>
              <w:rPr>
                <w:rFonts w:ascii="Cambria Math" w:hAnsi="Cambria Math"/>
                <w:szCs w:val="24"/>
              </w:rPr>
              <m:t>)Z</m:t>
            </m:r>
          </m:e>
          <m:sub>
            <m:r>
              <w:rPr>
                <w:rFonts w:ascii="Cambria Math"/>
                <w:szCs w:val="24"/>
              </w:rPr>
              <m:t>i</m:t>
            </m:r>
          </m:sub>
        </m:sSub>
        <m:r>
          <w:rPr>
            <w:rFonts w:ascii="Cambria Math" w:hAnsi="Cambria Math"/>
            <w:szCs w:val="24"/>
          </w:rPr>
          <m:t>)&gt;</m:t>
        </m:r>
        <m:sSub>
          <m:sSubPr>
            <m:ctrlPr>
              <w:rPr>
                <w:rFonts w:ascii="Cambria Math" w:hAnsi="Cambria Math"/>
                <w:i/>
                <w:szCs w:val="24"/>
              </w:rPr>
            </m:ctrlPr>
          </m:sSubPr>
          <m:e>
            <m:r>
              <w:rPr>
                <w:rFonts w:ascii="Cambria Math" w:hAnsi="Cambria Math"/>
                <w:szCs w:val="24"/>
              </w:rPr>
              <m:t>(α</m:t>
            </m:r>
          </m:e>
          <m:sub>
            <m:r>
              <w:rPr>
                <w:rFonts w:ascii="Cambria Math" w:hAnsi="Cambria Math"/>
                <w:szCs w:val="24"/>
              </w:rPr>
              <m:t>j-1</m:t>
            </m:r>
          </m:sub>
        </m:sSub>
        <m:r>
          <w:rPr>
            <w:rFonts w:ascii="Cambria Math" w:hAnsi="Cambria Math"/>
            <w:szCs w:val="24"/>
          </w:rPr>
          <m:t>+</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(δ</m:t>
                </m:r>
              </m:e>
              <m:sub>
                <m:r>
                  <w:rPr>
                    <w:rFonts w:ascii="Cambria Math"/>
                    <w:szCs w:val="24"/>
                  </w:rPr>
                  <m:t>j</m:t>
                </m:r>
                <m:r>
                  <w:rPr>
                    <w:rFonts w:ascii="Cambria Math"/>
                    <w:szCs w:val="24"/>
                  </w:rPr>
                  <m:t>-</m:t>
                </m:r>
                <m:r>
                  <w:rPr>
                    <w:rFonts w:asci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i,j-1</m:t>
                </m:r>
              </m:sub>
            </m:sSub>
            <m:r>
              <w:rPr>
                <w:rFonts w:ascii="Cambria Math" w:hAnsi="Cambria Math"/>
                <w:szCs w:val="24"/>
              </w:rPr>
              <m:t>)Z</m:t>
            </m:r>
          </m:e>
          <m:sub>
            <m:r>
              <w:rPr>
                <w:rFonts w:ascii="Cambria Math"/>
                <w:szCs w:val="24"/>
              </w:rPr>
              <m:t>i</m:t>
            </m:r>
          </m:sub>
        </m:sSub>
        <m:r>
          <w:rPr>
            <w:rFonts w:ascii="Cambria Math" w:hAnsi="Cambria Math"/>
            <w:szCs w:val="24"/>
          </w:rPr>
          <m:t>)</m:t>
        </m:r>
      </m:oMath>
      <w:r w:rsidR="008222FE">
        <w:rPr>
          <w:rFonts w:eastAsiaTheme="minorEastAsia"/>
          <w:szCs w:val="24"/>
        </w:rPr>
        <w:t>. In GO</w:t>
      </w:r>
      <w:r w:rsidR="00D426EC">
        <w:rPr>
          <w:rFonts w:eastAsiaTheme="minorEastAsia"/>
          <w:szCs w:val="24"/>
        </w:rPr>
        <w:t>R</w:t>
      </w:r>
      <w:r w:rsidR="008222FE">
        <w:rPr>
          <w:rFonts w:eastAsiaTheme="minorEastAsia"/>
          <w:szCs w:val="24"/>
        </w:rPr>
        <w:t xml:space="preserve"> model (without any unobserved heterogeneity</w:t>
      </w:r>
      <w:r w:rsidR="007E06D5">
        <w:rPr>
          <w:rFonts w:eastAsiaTheme="minorEastAsia"/>
          <w:szCs w:val="24"/>
        </w:rPr>
        <w:t xml:space="preserve"> consideration</w:t>
      </w:r>
      <w:r w:rsidR="008222FE">
        <w:rPr>
          <w:rFonts w:eastAsiaTheme="minorEastAsia"/>
          <w:szCs w:val="24"/>
        </w:rPr>
        <w:t>)</w:t>
      </w:r>
      <w:r w:rsidR="007E06D5">
        <w:rPr>
          <w:rFonts w:eastAsiaTheme="minorEastAsia"/>
          <w:szCs w:val="24"/>
        </w:rPr>
        <w:t xml:space="preserve">, it is very unlikely that this condition will be violated. </w:t>
      </w:r>
      <w:r w:rsidR="00D426EC">
        <w:rPr>
          <w:rFonts w:eastAsiaTheme="minorEastAsia"/>
          <w:szCs w:val="24"/>
        </w:rPr>
        <w:t xml:space="preserve">However, in </w:t>
      </w:r>
      <w:r w:rsidR="007E06D5">
        <w:rPr>
          <w:rFonts w:eastAsiaTheme="minorEastAsia"/>
          <w:szCs w:val="24"/>
        </w:rPr>
        <w:t>MGO</w:t>
      </w:r>
      <w:r w:rsidR="00D426EC">
        <w:rPr>
          <w:rFonts w:eastAsiaTheme="minorEastAsia"/>
          <w:szCs w:val="24"/>
        </w:rPr>
        <w:t>R</w:t>
      </w:r>
      <w:r w:rsidR="007E06D5">
        <w:rPr>
          <w:rFonts w:eastAsiaTheme="minorEastAsia"/>
          <w:szCs w:val="24"/>
        </w:rPr>
        <w:t xml:space="preserve"> model estimation </w:t>
      </w:r>
      <w:r w:rsidR="00D426EC">
        <w:rPr>
          <w:rFonts w:eastAsiaTheme="minorEastAsia"/>
          <w:szCs w:val="24"/>
        </w:rPr>
        <w:t xml:space="preserve">ensuring that the </w:t>
      </w:r>
      <w:r w:rsidR="000B70D7">
        <w:rPr>
          <w:rFonts w:eastAsiaTheme="minorEastAsia"/>
          <w:szCs w:val="24"/>
        </w:rPr>
        <w:t>thresholds ordering remains as required is not straightforward</w:t>
      </w:r>
      <w:r w:rsidR="00F826F7">
        <w:rPr>
          <w:rFonts w:eastAsiaTheme="minorEastAsia"/>
          <w:szCs w:val="24"/>
        </w:rPr>
        <w:t xml:space="preserve"> </w:t>
      </w:r>
      <w:r w:rsidR="00F826F7">
        <w:rPr>
          <w:rFonts w:eastAsiaTheme="minorEastAsia"/>
          <w:szCs w:val="24"/>
        </w:rPr>
        <w:fldChar w:fldCharType="begin" w:fldLock="1"/>
      </w:r>
      <w:r w:rsidR="002126A5">
        <w:rPr>
          <w:rFonts w:eastAsiaTheme="minorEastAsia"/>
          <w:szCs w:val="24"/>
        </w:rPr>
        <w:instrText>ADDIN CSL_CITATION {"citationItems":[{"id":"ITEM-1","itemData":{"DOI":"10.3141/1784-17","ISSN":"03611981","abstract":"An ordered mixed logit (OML) formulation is proposed to model injury severity, given a crash. The proposed formulation extends the ordered probit/logit models by accommodating variable, random, and correlated injury severity thresholds associated with various severity levels. The proposed model is calibrated using a sample from the 1996 National Automotive Sampling System General Estimates System data set. Chisquare tests indicate that the more general OML formulation provides a statistically superior representation of observed injury severity data than corresponding ordered logit models. Model results indicate that injury severity thresholds vary systematically depending on individual, traffic, crash-related, and vehicle characteristics. Further, significant unobserved variability in thresholds is found, and the thresholds are correlated within a given individual. The results suggest drastically increased chances of fatal injury due to certain factors including tripped rollovers and injuries sustained by moped riders. These findings suggest that targeting these drivers, behaviors, and conditions with suitable countermeasures including education, enforcement, or curfews is likely to result in substantial safety benefits. The model and results have important implications for developing effective safety countermeasures and more accurate assessment of their impacts.","author":[{"dropping-particle":"","family":"Srinivasan","given":"Karthik K.","non-dropping-particle":"","parse-names":false,"suffix":""}],"container-title":"Transportation Research Record","id":"ITEM-1","issue":"1784","issued":{"date-parts":[["2002"]]},"page":"132-142","title":"Injury severity analysis with variable and correlated thresholds: Ordered mixed logit formulation","type":"article-journal"},"uris":["http://www.mendeley.com/documents/?uuid=ba477cd5-3714-45fc-8390-ebaff677ea23"]},{"id":"ITEM-2","itemData":{"DOI":"10.1016/j.aap.2007.11.010","ISSN":"00014575","PMID":"18460372","abstract":"This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 2007 Elsevier Ltd. All rights reserved.","author":[{"dropping-particle":"","family":"Eluru","given":"Naveen","non-dropping-particle":"","parse-names":false,"suffix":""},{"dropping-particle":"","family":"Bhat","given":"Chandra R.","non-dropping-particle":"","parse-names":false,"suffix":""},{"dropping-particle":"","family":"Hensher","given":"David A.","non-dropping-particle":"","parse-names":false,"suffix":""}],"container-title":"Accident Analysis and Prevention","id":"ITEM-2","issue":"3","issued":{"date-parts":[["2008"]]},"page":"1033-1054","title":"A mixed generalized ordered response model for examining pedestrian and bicyclist injury severity level in traffic crashes","type":"article-journal","volume":"40"},"uris":["http://www.mendeley.com/documents/?uuid=e439ac6e-2369-4ff4-b2b4-488712b997fa"]}],"mendeley":{"formattedCitation":"(Srinivasan 2002; Eluru et al. 2008)","manualFormatting":"(see detailed discussion in Srinivasan 2002; Eluru et al. 2008)","plainTextFormattedCitation":"(Srinivasan 2002; Eluru et al. 2008)","previouslyFormattedCitation":"(Srinivasan 2002; Eluru et al. 2008)"},"properties":{"noteIndex":0},"schema":"https://github.com/citation-style-language/schema/raw/master/csl-citation.json"}</w:instrText>
      </w:r>
      <w:r w:rsidR="00F826F7">
        <w:rPr>
          <w:rFonts w:eastAsiaTheme="minorEastAsia"/>
          <w:szCs w:val="24"/>
        </w:rPr>
        <w:fldChar w:fldCharType="separate"/>
      </w:r>
      <w:r w:rsidR="00F826F7" w:rsidRPr="00F826F7">
        <w:rPr>
          <w:rFonts w:eastAsiaTheme="minorEastAsia"/>
          <w:noProof/>
          <w:szCs w:val="24"/>
        </w:rPr>
        <w:t>(</w:t>
      </w:r>
      <w:r w:rsidR="00CF3C5E">
        <w:rPr>
          <w:rFonts w:eastAsiaTheme="minorEastAsia"/>
          <w:noProof/>
          <w:szCs w:val="24"/>
        </w:rPr>
        <w:t xml:space="preserve">see detailed discussion in </w:t>
      </w:r>
      <w:r w:rsidR="00F826F7" w:rsidRPr="00F826F7">
        <w:rPr>
          <w:rFonts w:eastAsiaTheme="minorEastAsia"/>
          <w:noProof/>
          <w:szCs w:val="24"/>
        </w:rPr>
        <w:t>Srinivasan 2002</w:t>
      </w:r>
      <w:r w:rsidR="00F826F7">
        <w:rPr>
          <w:rFonts w:eastAsiaTheme="minorEastAsia"/>
          <w:noProof/>
          <w:szCs w:val="24"/>
        </w:rPr>
        <w:t xml:space="preserve">; </w:t>
      </w:r>
      <w:r w:rsidR="00F826F7" w:rsidRPr="00F826F7">
        <w:rPr>
          <w:rFonts w:eastAsiaTheme="minorEastAsia"/>
          <w:noProof/>
          <w:szCs w:val="24"/>
        </w:rPr>
        <w:t>Eluru et al. 2008)</w:t>
      </w:r>
      <w:r w:rsidR="00F826F7">
        <w:rPr>
          <w:rFonts w:eastAsiaTheme="minorEastAsia"/>
          <w:szCs w:val="24"/>
        </w:rPr>
        <w:fldChar w:fldCharType="end"/>
      </w:r>
      <w:r w:rsidR="007E06D5">
        <w:rPr>
          <w:rFonts w:eastAsiaTheme="minorEastAsia"/>
          <w:szCs w:val="24"/>
        </w:rPr>
        <w:t xml:space="preserve">. To avoid such </w:t>
      </w:r>
      <w:r w:rsidR="000B70D7">
        <w:rPr>
          <w:rFonts w:eastAsiaTheme="minorEastAsia"/>
          <w:szCs w:val="24"/>
        </w:rPr>
        <w:t>pote</w:t>
      </w:r>
      <w:r w:rsidR="0066618D">
        <w:rPr>
          <w:rFonts w:eastAsiaTheme="minorEastAsia"/>
          <w:szCs w:val="24"/>
        </w:rPr>
        <w:t>n</w:t>
      </w:r>
      <w:r w:rsidR="000B70D7">
        <w:rPr>
          <w:rFonts w:eastAsiaTheme="minorEastAsia"/>
          <w:szCs w:val="24"/>
        </w:rPr>
        <w:t xml:space="preserve">tial </w:t>
      </w:r>
      <w:r w:rsidR="007E06D5">
        <w:rPr>
          <w:rFonts w:eastAsiaTheme="minorEastAsia"/>
          <w:szCs w:val="24"/>
        </w:rPr>
        <w:t>negative probabilit</w:t>
      </w:r>
      <w:r w:rsidR="000B70D7">
        <w:rPr>
          <w:rFonts w:eastAsiaTheme="minorEastAsia"/>
          <w:szCs w:val="24"/>
        </w:rPr>
        <w:t>y scenarios</w:t>
      </w:r>
      <w:r w:rsidR="007E06D5">
        <w:rPr>
          <w:rFonts w:eastAsiaTheme="minorEastAsia"/>
          <w:szCs w:val="24"/>
        </w:rPr>
        <w:t xml:space="preserve">, </w:t>
      </w:r>
      <w:r w:rsidR="00F826F7">
        <w:rPr>
          <w:rFonts w:eastAsiaTheme="minorEastAsia"/>
          <w:szCs w:val="24"/>
        </w:rPr>
        <w:fldChar w:fldCharType="begin" w:fldLock="1"/>
      </w:r>
      <w:r w:rsidR="002126A5">
        <w:rPr>
          <w:rFonts w:eastAsiaTheme="minorEastAsia"/>
          <w:szCs w:val="24"/>
        </w:rPr>
        <w:instrText>ADDIN CSL_CITATION {"citationItems":[{"id":"ITEM-1","itemData":{"DOI":"10.1016/j.aap.2007.11.010","ISSN":"00014575","PMID":"18460372","abstract":"This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 2007 Elsevier Ltd. All rights reserved.","author":[{"dropping-particle":"","family":"Eluru","given":"Naveen","non-dropping-particle":"","parse-names":false,"suffix":""},{"dropping-particle":"","family":"Bhat","given":"Chandra R.","non-dropping-particle":"","parse-names":false,"suffix":""},{"dropping-particle":"","family":"Hensher","given":"David A.","non-dropping-particle":"","parse-names":false,"suffix":""}],"container-title":"Accident Analysis and Prevention","id":"ITEM-1","issue":"3","issued":{"date-parts":[["2008"]]},"page":"1033-1054","title":"A mixed generalized ordered response model for examining pedestrian and bicyclist injury severity level in traffic crashes","type":"article-journal","volume":"40"},"uris":["http://www.mendeley.com/documents/?uuid=e439ac6e-2369-4ff4-b2b4-488712b997fa"]}],"mendeley":{"formattedCitation":"(Eluru et al. 2008)","manualFormatting":"Eluru et al. (2008)","plainTextFormattedCitation":"(Eluru et al. 2008)","previouslyFormattedCitation":"(Eluru et al. 2008)"},"properties":{"noteIndex":0},"schema":"https://github.com/citation-style-language/schema/raw/master/csl-citation.json"}</w:instrText>
      </w:r>
      <w:r w:rsidR="00F826F7">
        <w:rPr>
          <w:rFonts w:eastAsiaTheme="minorEastAsia"/>
          <w:szCs w:val="24"/>
        </w:rPr>
        <w:fldChar w:fldCharType="separate"/>
      </w:r>
      <w:r w:rsidR="00F826F7" w:rsidRPr="00F826F7">
        <w:rPr>
          <w:rFonts w:eastAsiaTheme="minorEastAsia"/>
          <w:noProof/>
          <w:szCs w:val="24"/>
        </w:rPr>
        <w:t xml:space="preserve">Eluru et al. </w:t>
      </w:r>
      <w:r w:rsidR="00644C3A">
        <w:rPr>
          <w:rFonts w:eastAsiaTheme="minorEastAsia"/>
          <w:noProof/>
          <w:szCs w:val="24"/>
        </w:rPr>
        <w:t>(</w:t>
      </w:r>
      <w:r w:rsidR="00F826F7" w:rsidRPr="00F826F7">
        <w:rPr>
          <w:rFonts w:eastAsiaTheme="minorEastAsia"/>
          <w:noProof/>
          <w:szCs w:val="24"/>
        </w:rPr>
        <w:t>2008)</w:t>
      </w:r>
      <w:r w:rsidR="00F826F7">
        <w:rPr>
          <w:rFonts w:eastAsiaTheme="minorEastAsia"/>
          <w:szCs w:val="24"/>
        </w:rPr>
        <w:fldChar w:fldCharType="end"/>
      </w:r>
      <w:r w:rsidR="007E06D5">
        <w:rPr>
          <w:rFonts w:eastAsiaTheme="minorEastAsia"/>
          <w:szCs w:val="24"/>
        </w:rPr>
        <w:t xml:space="preserve"> proposed </w:t>
      </w:r>
      <w:r w:rsidR="00924F2C">
        <w:rPr>
          <w:rFonts w:eastAsiaTheme="minorEastAsia"/>
          <w:szCs w:val="24"/>
        </w:rPr>
        <w:t xml:space="preserve">the </w:t>
      </w:r>
      <w:r w:rsidR="007E06D5">
        <w:rPr>
          <w:rFonts w:eastAsiaTheme="minorEastAsia"/>
          <w:szCs w:val="24"/>
        </w:rPr>
        <w:t xml:space="preserve">following </w:t>
      </w:r>
      <w:r w:rsidR="00924F2C">
        <w:rPr>
          <w:rFonts w:eastAsiaTheme="minorEastAsia"/>
          <w:szCs w:val="24"/>
        </w:rPr>
        <w:t>alternative</w:t>
      </w:r>
      <w:r w:rsidR="007E06D5">
        <w:rPr>
          <w:rFonts w:eastAsiaTheme="minorEastAsia"/>
          <w:szCs w:val="24"/>
        </w:rPr>
        <w:t xml:space="preserve"> formulation </w:t>
      </w:r>
      <w:r w:rsidR="00924F2C">
        <w:rPr>
          <w:rFonts w:eastAsiaTheme="minorEastAsia"/>
          <w:szCs w:val="24"/>
        </w:rPr>
        <w:t xml:space="preserve">for </w:t>
      </w:r>
      <w:r w:rsidR="007E06D5">
        <w:rPr>
          <w:rFonts w:eastAsiaTheme="minorEastAsia"/>
          <w:szCs w:val="24"/>
        </w:rPr>
        <w:t>threshold parameters:</w:t>
      </w:r>
    </w:p>
    <w:p w14:paraId="2283923E" w14:textId="1959D7F1" w:rsidR="007E06D5" w:rsidRDefault="007E06D5" w:rsidP="007E06D5">
      <w:pPr>
        <w:spacing w:after="0"/>
        <w:jc w:val="both"/>
        <w:rPr>
          <w:rFonts w:eastAsiaTheme="minorEastAsia"/>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1"/>
        <w:gridCol w:w="1169"/>
      </w:tblGrid>
      <w:tr w:rsidR="007E06D5" w14:paraId="4718B162" w14:textId="77777777" w:rsidTr="007E06D5">
        <w:tc>
          <w:tcPr>
            <w:tcW w:w="8388" w:type="dxa"/>
          </w:tcPr>
          <w:p w14:paraId="6B675DF0" w14:textId="6EB64BD2" w:rsidR="007E06D5" w:rsidRPr="00E360F0" w:rsidRDefault="006633EA" w:rsidP="00E324E5">
            <w:pPr>
              <w:spacing w:before="240"/>
              <w:rPr>
                <w:szCs w:val="24"/>
              </w:rPr>
            </w:pPr>
            <m:oMathPara>
              <m:oMathParaPr>
                <m:jc m:val="left"/>
              </m:oMathParaPr>
              <m:oMath>
                <m:sSub>
                  <m:sSubPr>
                    <m:ctrlPr>
                      <w:rPr>
                        <w:rFonts w:ascii="Cambria Math" w:hAnsi="Cambria Math"/>
                        <w:i/>
                        <w:szCs w:val="24"/>
                      </w:rPr>
                    </m:ctrlPr>
                  </m:sSubPr>
                  <m:e>
                    <m:r>
                      <w:rPr>
                        <w:rFonts w:ascii="Cambria Math"/>
                        <w:szCs w:val="24"/>
                      </w:rPr>
                      <m:t>τ</m:t>
                    </m:r>
                  </m:e>
                  <m:sub>
                    <m:r>
                      <w:rPr>
                        <w:rFonts w:ascii="Cambria Math"/>
                        <w:szCs w:val="24"/>
                      </w:rPr>
                      <m:t>i</m:t>
                    </m:r>
                    <m:r>
                      <w:rPr>
                        <w:rFonts w:ascii="Cambria Math"/>
                        <w:szCs w:val="24"/>
                      </w:rPr>
                      <m:t>,</m:t>
                    </m:r>
                    <m:r>
                      <w:rPr>
                        <w:rFonts w:ascii="Cambria Math"/>
                        <w:szCs w:val="24"/>
                      </w:rPr>
                      <m:t>j</m:t>
                    </m:r>
                  </m:sub>
                </m:sSub>
                <m:r>
                  <w:rPr>
                    <w:rFonts w:ascii="Cambria Math"/>
                    <w:szCs w:val="24"/>
                  </w:rPr>
                  <m:t>=</m:t>
                </m:r>
                <m:sSub>
                  <m:sSubPr>
                    <m:ctrlPr>
                      <w:rPr>
                        <w:rFonts w:ascii="Cambria Math" w:hAnsi="Cambria Math"/>
                        <w:i/>
                        <w:szCs w:val="24"/>
                      </w:rPr>
                    </m:ctrlPr>
                  </m:sSubPr>
                  <m:e>
                    <m:r>
                      <w:rPr>
                        <w:rFonts w:ascii="Cambria Math"/>
                        <w:szCs w:val="24"/>
                      </w:rPr>
                      <m:t>τ</m:t>
                    </m:r>
                  </m:e>
                  <m:sub>
                    <m:r>
                      <w:rPr>
                        <w:rFonts w:ascii="Cambria Math"/>
                        <w:szCs w:val="24"/>
                      </w:rPr>
                      <m:t>i</m:t>
                    </m:r>
                    <m:r>
                      <w:rPr>
                        <w:rFonts w:ascii="Cambria Math"/>
                        <w:szCs w:val="24"/>
                      </w:rPr>
                      <m:t>,</m:t>
                    </m:r>
                    <m:r>
                      <w:rPr>
                        <w:rFonts w:ascii="Cambria Math"/>
                        <w:szCs w:val="24"/>
                      </w:rPr>
                      <m:t>j</m:t>
                    </m:r>
                    <m:r>
                      <w:rPr>
                        <w:rFonts w:ascii="Cambria Math"/>
                        <w:szCs w:val="24"/>
                      </w:rPr>
                      <m:t>-</m:t>
                    </m:r>
                    <m:r>
                      <w:rPr>
                        <w:rFonts w:ascii="Cambria Math"/>
                        <w:szCs w:val="24"/>
                      </w:rPr>
                      <m:t>1</m:t>
                    </m:r>
                  </m:sub>
                </m:sSub>
                <m:r>
                  <w:rPr>
                    <w:rFonts w:ascii="Cambria Math" w:hAnsi="Cambria Math"/>
                    <w:szCs w:val="24"/>
                  </w:rPr>
                  <m:t>+</m:t>
                </m:r>
                <m:sSub>
                  <m:sSubPr>
                    <m:ctrlPr>
                      <w:rPr>
                        <w:rFonts w:ascii="Cambria Math" w:hAnsi="Cambria Math"/>
                        <w:i/>
                        <w:szCs w:val="24"/>
                      </w:rPr>
                    </m:ctrlPr>
                  </m:sSubPr>
                  <m:e>
                    <m:sSub>
                      <m:sSubPr>
                        <m:ctrlPr>
                          <w:rPr>
                            <w:rFonts w:ascii="Cambria Math" w:hAnsi="Cambria Math"/>
                            <w:i/>
                            <w:szCs w:val="24"/>
                          </w:rPr>
                        </m:ctrlPr>
                      </m:sSubPr>
                      <m:e>
                        <m:r>
                          <m:rPr>
                            <m:sty m:val="p"/>
                          </m:rPr>
                          <w:rPr>
                            <w:rFonts w:ascii="Cambria Math" w:hAnsi="Cambria Math"/>
                            <w:szCs w:val="24"/>
                          </w:rPr>
                          <m:t>exp⁡</m:t>
                        </m:r>
                        <m:r>
                          <w:rPr>
                            <w:rFonts w:ascii="Cambria Math" w:hAnsi="Cambria Math"/>
                            <w:szCs w:val="24"/>
                          </w:rPr>
                          <m:t>[</m:t>
                        </m:r>
                        <m:sSub>
                          <m:sSubPr>
                            <m:ctrlPr>
                              <w:rPr>
                                <w:rFonts w:ascii="Cambria Math" w:hAnsi="Cambria Math"/>
                                <w:i/>
                                <w:szCs w:val="24"/>
                              </w:rPr>
                            </m:ctrlPr>
                          </m:sSubPr>
                          <m:e>
                            <m:r>
                              <w:rPr>
                                <w:rFonts w:ascii="Cambria Math" w:hAnsi="Cambria Math"/>
                                <w:szCs w:val="24"/>
                              </w:rPr>
                              <m:t>α</m:t>
                            </m:r>
                          </m:e>
                          <m:sub>
                            <m:r>
                              <w:rPr>
                                <w:rFonts w:ascii="Cambria Math" w:hAnsi="Cambria Math"/>
                                <w:szCs w:val="24"/>
                              </w:rPr>
                              <m:t>j</m:t>
                            </m:r>
                          </m:sub>
                        </m:sSub>
                        <m:r>
                          <w:rPr>
                            <w:rFonts w:ascii="Cambria Math" w:hAnsi="Cambria Math"/>
                            <w:szCs w:val="24"/>
                          </w:rPr>
                          <m:t>+(</m:t>
                        </m:r>
                        <m:r>
                          <w:rPr>
                            <w:rFonts w:ascii="Cambria Math" w:hAnsi="Cambria Math"/>
                            <w:szCs w:val="24"/>
                          </w:rPr>
                          <m:t>δ</m:t>
                        </m:r>
                      </m:e>
                      <m:sub>
                        <m:r>
                          <w:rPr>
                            <w:rFonts w:ascii="Cambria Math"/>
                            <w:szCs w:val="24"/>
                          </w:rPr>
                          <m:t>j</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r>
                      <w:rPr>
                        <w:rFonts w:ascii="Cambria Math" w:hAnsi="Cambria Math"/>
                        <w:szCs w:val="24"/>
                      </w:rPr>
                      <m:t>)</m:t>
                    </m:r>
                    <m:r>
                      <w:rPr>
                        <w:rFonts w:ascii="Cambria Math" w:hAnsi="Cambria Math"/>
                        <w:szCs w:val="24"/>
                      </w:rPr>
                      <m:t>Z</m:t>
                    </m:r>
                  </m:e>
                  <m:sub>
                    <m:r>
                      <w:rPr>
                        <w:rFonts w:ascii="Cambria Math"/>
                        <w:szCs w:val="24"/>
                      </w:rPr>
                      <m:t>i</m:t>
                    </m:r>
                  </m:sub>
                </m:sSub>
                <m:r>
                  <w:rPr>
                    <w:rFonts w:ascii="Cambria Math" w:hAnsi="Cambria Math"/>
                    <w:szCs w:val="24"/>
                  </w:rPr>
                  <m:t xml:space="preserve">] </m:t>
                </m:r>
              </m:oMath>
            </m:oMathPara>
          </w:p>
        </w:tc>
        <w:tc>
          <w:tcPr>
            <w:tcW w:w="1188" w:type="dxa"/>
          </w:tcPr>
          <w:p w14:paraId="778BBE83" w14:textId="6D9D298B" w:rsidR="007E06D5" w:rsidRDefault="007E06D5" w:rsidP="00E324E5">
            <w:pPr>
              <w:spacing w:before="240"/>
              <w:jc w:val="right"/>
              <w:rPr>
                <w:szCs w:val="24"/>
              </w:rPr>
            </w:pPr>
            <w:r>
              <w:rPr>
                <w:szCs w:val="24"/>
              </w:rPr>
              <w:t>(</w:t>
            </w:r>
            <w:r w:rsidR="00C563F6">
              <w:rPr>
                <w:szCs w:val="24"/>
              </w:rPr>
              <w:t>9</w:t>
            </w:r>
            <w:r>
              <w:rPr>
                <w:szCs w:val="24"/>
              </w:rPr>
              <w:t>)</w:t>
            </w:r>
          </w:p>
        </w:tc>
      </w:tr>
    </w:tbl>
    <w:p w14:paraId="0D3D78F2" w14:textId="3FAB1CFB" w:rsidR="008222FE" w:rsidRDefault="008222FE" w:rsidP="007E06D5">
      <w:pPr>
        <w:spacing w:after="0"/>
        <w:jc w:val="both"/>
        <w:rPr>
          <w:rFonts w:eastAsiaTheme="minorEastAsia"/>
          <w:szCs w:val="24"/>
        </w:rPr>
      </w:pPr>
    </w:p>
    <w:p w14:paraId="091F9DBF" w14:textId="5CA3711C" w:rsidR="00463219" w:rsidRDefault="00BB32C7" w:rsidP="00C52F51">
      <w:pPr>
        <w:spacing w:after="0"/>
        <w:ind w:firstLine="720"/>
        <w:jc w:val="both"/>
        <w:rPr>
          <w:szCs w:val="24"/>
        </w:rPr>
      </w:pPr>
      <w:r>
        <w:rPr>
          <w:rFonts w:eastAsiaTheme="minorEastAsia"/>
          <w:szCs w:val="24"/>
        </w:rPr>
        <w:t xml:space="preserve">The reader would note that all thresholds are not identifiable. Hence, </w:t>
      </w:r>
      <w:r w:rsidR="00DA78F8" w:rsidRPr="00DA78F8">
        <w:rPr>
          <w:rFonts w:eastAsiaTheme="minorEastAsia"/>
          <w:szCs w:val="24"/>
        </w:rPr>
        <w:t xml:space="preserve">, we </w:t>
      </w:r>
      <w:r w:rsidR="006837D2">
        <w:rPr>
          <w:rFonts w:eastAsiaTheme="minorEastAsia"/>
          <w:szCs w:val="24"/>
        </w:rPr>
        <w:t xml:space="preserve">need to set either </w:t>
      </w:r>
      <w:r>
        <w:rPr>
          <w:rFonts w:eastAsiaTheme="minorEastAsia"/>
          <w:szCs w:val="24"/>
        </w:rPr>
        <w:t xml:space="preserve">the </w:t>
      </w:r>
      <w:r w:rsidR="002736F9">
        <w:rPr>
          <w:rFonts w:eastAsiaTheme="minorEastAsia"/>
          <w:szCs w:val="24"/>
        </w:rPr>
        <w:t xml:space="preserve">constant in </w:t>
      </w:r>
      <w:r w:rsidR="006837D2">
        <w:rPr>
          <w:rFonts w:eastAsiaTheme="minorEastAsia"/>
          <w:szCs w:val="24"/>
        </w:rPr>
        <w:t xml:space="preserve">the propensity </w:t>
      </w:r>
      <w:r w:rsidR="002736F9">
        <w:rPr>
          <w:rFonts w:eastAsiaTheme="minorEastAsia"/>
          <w:szCs w:val="24"/>
        </w:rPr>
        <w:t>or</w:t>
      </w:r>
      <w:r w:rsidR="006837D2">
        <w:rPr>
          <w:rFonts w:eastAsiaTheme="minorEastAsia"/>
          <w:szCs w:val="24"/>
        </w:rPr>
        <w:t xml:space="preserve"> one of the thresholds to 0. In our model structure</w:t>
      </w:r>
      <w:r w:rsidR="00675B66">
        <w:rPr>
          <w:rFonts w:eastAsiaTheme="minorEastAsia"/>
          <w:szCs w:val="24"/>
        </w:rPr>
        <w:t>, we include a constant in latent propensity, and</w:t>
      </w:r>
      <w:r w:rsidR="006837D2">
        <w:rPr>
          <w:rFonts w:eastAsiaTheme="minorEastAsia"/>
          <w:szCs w:val="24"/>
        </w:rPr>
        <w:t xml:space="preserve"> we set </w:t>
      </w:r>
      <m:oMath>
        <m:sSub>
          <m:sSubPr>
            <m:ctrlPr>
              <w:rPr>
                <w:rFonts w:ascii="Cambria Math" w:hAnsi="Cambria Math"/>
                <w:i/>
                <w:szCs w:val="24"/>
              </w:rPr>
            </m:ctrlPr>
          </m:sSubPr>
          <m:e>
            <m:r>
              <w:rPr>
                <w:rFonts w:ascii="Cambria Math"/>
                <w:szCs w:val="24"/>
              </w:rPr>
              <m:t>τ</m:t>
            </m:r>
          </m:e>
          <m:sub>
            <m:r>
              <w:rPr>
                <w:rFonts w:ascii="Cambria Math"/>
                <w:szCs w:val="24"/>
              </w:rPr>
              <m:t>i,1</m:t>
            </m:r>
          </m:sub>
        </m:sSub>
        <m:r>
          <w:rPr>
            <w:rFonts w:ascii="Cambria Math" w:hAnsi="Cambria Math"/>
            <w:szCs w:val="24"/>
          </w:rPr>
          <m:t xml:space="preserve">=0 </m:t>
        </m:r>
      </m:oMath>
      <w:r w:rsidR="006837D2">
        <w:rPr>
          <w:rFonts w:eastAsiaTheme="minorEastAsia"/>
          <w:szCs w:val="24"/>
        </w:rPr>
        <w:t xml:space="preserve">. </w:t>
      </w:r>
      <w:r>
        <w:rPr>
          <w:rFonts w:eastAsiaTheme="minorEastAsia"/>
          <w:szCs w:val="24"/>
        </w:rPr>
        <w:t xml:space="preserve">For probability computation, </w:t>
      </w:r>
      <w:r w:rsidR="00B05955" w:rsidRPr="00B05955">
        <w:rPr>
          <w:szCs w:val="24"/>
        </w:rPr>
        <w:t xml:space="preserve">t is necessary to </w:t>
      </w:r>
      <w:r>
        <w:rPr>
          <w:szCs w:val="24"/>
        </w:rPr>
        <w:t>outline</w:t>
      </w:r>
      <w:r w:rsidRPr="00B05955">
        <w:rPr>
          <w:szCs w:val="24"/>
        </w:rPr>
        <w:t xml:space="preserve"> </w:t>
      </w:r>
      <w:r w:rsidR="00B05955" w:rsidRPr="00B05955">
        <w:rPr>
          <w:szCs w:val="24"/>
        </w:rPr>
        <w:t xml:space="preserve">the structure for the </w:t>
      </w:r>
      <w:r>
        <w:rPr>
          <w:szCs w:val="24"/>
        </w:rPr>
        <w:t xml:space="preserve">different </w:t>
      </w:r>
      <w:r w:rsidR="00B05955" w:rsidRPr="00B05955">
        <w:rPr>
          <w:szCs w:val="24"/>
        </w:rPr>
        <w:t>unobserved vectors</w:t>
      </w:r>
      <w:r w:rsidR="00B05955">
        <w:rPr>
          <w:szCs w:val="24"/>
        </w:rPr>
        <w:t xml:space="preserve"> </w:t>
      </w:r>
      <m:oMath>
        <m:sSub>
          <m:sSubPr>
            <m:ctrlPr>
              <w:rPr>
                <w:rFonts w:ascii="Cambria Math" w:hAnsi="Cambria Math"/>
                <w:i/>
                <w:szCs w:val="24"/>
              </w:rPr>
            </m:ctrlPr>
          </m:sSubPr>
          <m:e>
            <m:r>
              <w:rPr>
                <w:rFonts w:ascii="Cambria Math" w:hAnsi="Cambria Math"/>
                <w:szCs w:val="24"/>
              </w:rPr>
              <m:t>μ</m:t>
            </m:r>
          </m:e>
          <m:sub>
            <m:r>
              <w:rPr>
                <w:rFonts w:ascii="Cambria Math" w:hAnsi="Cambria Math"/>
                <w:szCs w:val="24"/>
              </w:rPr>
              <m:t>i</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oMath>
      <w:r w:rsidR="00B05955" w:rsidRPr="00E27CE1">
        <w:rPr>
          <w:szCs w:val="24"/>
        </w:rPr>
        <w:t xml:space="preserve"> and </w:t>
      </w:r>
      <m:oMath>
        <m:sSub>
          <m:sSubPr>
            <m:ctrlPr>
              <w:rPr>
                <w:rFonts w:ascii="Cambria Math" w:hAnsi="Cambria Math" w:cs="Times New Roman"/>
                <w:i/>
                <w:iCs/>
                <w:szCs w:val="24"/>
              </w:rPr>
            </m:ctrlPr>
          </m:sSubPr>
          <m:e>
            <m:r>
              <w:rPr>
                <w:rFonts w:ascii="Cambria Math" w:hAnsi="Cambria Math" w:cs="Times New Roman"/>
                <w:szCs w:val="24"/>
              </w:rPr>
              <m:t>η</m:t>
            </m:r>
          </m:e>
          <m:sub>
            <m:r>
              <w:rPr>
                <w:rFonts w:ascii="Cambria Math" w:cs="Times New Roman"/>
                <w:szCs w:val="24"/>
              </w:rPr>
              <m:t>k</m:t>
            </m:r>
          </m:sub>
        </m:sSub>
        <m:r>
          <w:rPr>
            <w:rFonts w:ascii="Cambria Math" w:cs="Times New Roman"/>
            <w:szCs w:val="24"/>
          </w:rPr>
          <m:t>.</m:t>
        </m:r>
      </m:oMath>
      <w:r w:rsidR="00F357CC">
        <w:rPr>
          <w:szCs w:val="24"/>
        </w:rPr>
        <w:t xml:space="preserve"> </w:t>
      </w:r>
      <w:r w:rsidR="00B05955">
        <w:rPr>
          <w:szCs w:val="24"/>
        </w:rPr>
        <w:t>W</w:t>
      </w:r>
      <w:r w:rsidR="00B05955" w:rsidRPr="00B05955">
        <w:rPr>
          <w:szCs w:val="24"/>
        </w:rPr>
        <w:t xml:space="preserve">e </w:t>
      </w:r>
      <w:r>
        <w:rPr>
          <w:szCs w:val="24"/>
        </w:rPr>
        <w:t>consider</w:t>
      </w:r>
      <w:r w:rsidRPr="00B05955">
        <w:rPr>
          <w:szCs w:val="24"/>
        </w:rPr>
        <w:t xml:space="preserve"> </w:t>
      </w:r>
      <w:r w:rsidR="00B05955" w:rsidRPr="00B05955">
        <w:rPr>
          <w:szCs w:val="24"/>
        </w:rPr>
        <w:t>that the</w:t>
      </w:r>
      <w:r w:rsidR="005437A0">
        <w:rPr>
          <w:szCs w:val="24"/>
        </w:rPr>
        <w:t>se</w:t>
      </w:r>
      <w:r w:rsidR="00B05955" w:rsidRPr="00B05955">
        <w:rPr>
          <w:szCs w:val="24"/>
        </w:rPr>
        <w:t xml:space="preserve"> three vectors are </w:t>
      </w:r>
      <w:r>
        <w:rPr>
          <w:szCs w:val="24"/>
        </w:rPr>
        <w:t>drawn independently</w:t>
      </w:r>
      <w:r w:rsidR="00B05955" w:rsidRPr="00B05955">
        <w:rPr>
          <w:szCs w:val="24"/>
        </w:rPr>
        <w:t xml:space="preserve"> from normal distributions as follows:</w:t>
      </w:r>
      <w:r w:rsidR="00B05955">
        <w:rPr>
          <w:szCs w:val="24"/>
        </w:rPr>
        <w:t xml:space="preserve"> </w:t>
      </w:r>
      <m:oMath>
        <m:r>
          <w:rPr>
            <w:rFonts w:ascii="Cambria Math" w:hAnsi="Cambria Math"/>
            <w:szCs w:val="24"/>
          </w:rPr>
          <m:t>N</m:t>
        </m:r>
        <m:d>
          <m:dPr>
            <m:ctrlPr>
              <w:rPr>
                <w:rFonts w:ascii="Cambria Math" w:hAnsi="Cambria Math"/>
                <w:i/>
                <w:szCs w:val="24"/>
              </w:rPr>
            </m:ctrlPr>
          </m:dPr>
          <m:e>
            <m:r>
              <w:rPr>
                <w:rFonts w:ascii="Cambria Math" w:hAnsi="Cambria Math"/>
                <w:szCs w:val="24"/>
              </w:rPr>
              <m:t xml:space="preserve">0, </m:t>
            </m:r>
            <m:sSup>
              <m:sSupPr>
                <m:ctrlPr>
                  <w:rPr>
                    <w:rFonts w:ascii="Cambria Math" w:hAnsi="Cambria Math"/>
                    <w:i/>
                    <w:szCs w:val="24"/>
                  </w:rPr>
                </m:ctrlPr>
              </m:sSupPr>
              <m:e>
                <m:r>
                  <w:rPr>
                    <w:rFonts w:ascii="Cambria Math" w:hAnsi="Cambria Math"/>
                    <w:szCs w:val="24"/>
                  </w:rPr>
                  <m:t>σ</m:t>
                </m:r>
              </m:e>
              <m:sup>
                <m:r>
                  <w:rPr>
                    <w:rFonts w:ascii="Cambria Math" w:hAnsi="Cambria Math"/>
                    <w:szCs w:val="24"/>
                  </w:rPr>
                  <m:t>2</m:t>
                </m:r>
              </m:sup>
            </m:sSup>
          </m:e>
        </m:d>
        <m:r>
          <w:rPr>
            <w:rFonts w:ascii="Cambria Math" w:hAnsi="Cambria Math"/>
            <w:szCs w:val="24"/>
          </w:rPr>
          <m:t>, N</m:t>
        </m:r>
        <m:d>
          <m:dPr>
            <m:ctrlPr>
              <w:rPr>
                <w:rFonts w:ascii="Cambria Math" w:hAnsi="Cambria Math"/>
                <w:i/>
                <w:szCs w:val="24"/>
              </w:rPr>
            </m:ctrlPr>
          </m:dPr>
          <m:e>
            <m:r>
              <w:rPr>
                <w:rFonts w:ascii="Cambria Math" w:hAnsi="Cambria Math"/>
                <w:szCs w:val="24"/>
              </w:rPr>
              <m:t>0,</m:t>
            </m:r>
            <m:sSup>
              <m:sSupPr>
                <m:ctrlPr>
                  <w:rPr>
                    <w:rFonts w:ascii="Cambria Math" w:hAnsi="Cambria Math"/>
                    <w:i/>
                    <w:szCs w:val="24"/>
                  </w:rPr>
                </m:ctrlPr>
              </m:sSupPr>
              <m:e>
                <m:r>
                  <w:rPr>
                    <w:rFonts w:ascii="Cambria Math" w:hAnsi="Cambria Math"/>
                    <w:szCs w:val="24"/>
                  </w:rPr>
                  <m:t>ϑ</m:t>
                </m:r>
              </m:e>
              <m:sup>
                <m:r>
                  <w:rPr>
                    <w:rFonts w:ascii="Cambria Math" w:hAnsi="Cambria Math"/>
                    <w:szCs w:val="24"/>
                  </w:rPr>
                  <m:t>2</m:t>
                </m:r>
              </m:sup>
            </m:sSup>
          </m:e>
        </m:d>
        <m:r>
          <w:rPr>
            <w:rFonts w:ascii="Cambria Math" w:hAnsi="Cambria Math"/>
            <w:szCs w:val="24"/>
          </w:rPr>
          <m:t xml:space="preserve"> and</m:t>
        </m:r>
        <m:r>
          <w:rPr>
            <w:rFonts w:ascii="Cambria Math" w:eastAsiaTheme="minorEastAsia" w:hAnsi="Cambria Math"/>
            <w:szCs w:val="24"/>
          </w:rPr>
          <m:t xml:space="preserve"> N</m:t>
        </m:r>
        <m:d>
          <m:dPr>
            <m:ctrlPr>
              <w:rPr>
                <w:rFonts w:ascii="Cambria Math" w:eastAsiaTheme="minorEastAsia" w:hAnsi="Cambria Math"/>
                <w:i/>
                <w:szCs w:val="24"/>
              </w:rPr>
            </m:ctrlPr>
          </m:dPr>
          <m:e>
            <m:r>
              <w:rPr>
                <w:rFonts w:ascii="Cambria Math" w:eastAsiaTheme="minorEastAsia" w:hAnsi="Cambria Math"/>
                <w:szCs w:val="24"/>
              </w:rPr>
              <m:t>0,</m:t>
            </m:r>
            <m:sSup>
              <m:sSupPr>
                <m:ctrlPr>
                  <w:rPr>
                    <w:rFonts w:ascii="Cambria Math" w:eastAsiaTheme="minorEastAsia" w:hAnsi="Cambria Math"/>
                    <w:i/>
                    <w:szCs w:val="24"/>
                  </w:rPr>
                </m:ctrlPr>
              </m:sSupPr>
              <m:e>
                <m:r>
                  <w:rPr>
                    <w:rFonts w:ascii="Cambria Math" w:eastAsiaTheme="minorEastAsia" w:hAnsi="Cambria Math"/>
                    <w:szCs w:val="24"/>
                  </w:rPr>
                  <m:t>ρ</m:t>
                </m:r>
              </m:e>
              <m:sup>
                <m:r>
                  <w:rPr>
                    <w:rFonts w:ascii="Cambria Math" w:eastAsiaTheme="minorEastAsia" w:hAnsi="Cambria Math"/>
                    <w:szCs w:val="24"/>
                  </w:rPr>
                  <m:t>2</m:t>
                </m:r>
              </m:sup>
            </m:sSup>
          </m:e>
        </m:d>
        <m:r>
          <w:rPr>
            <w:rFonts w:ascii="Cambria Math" w:eastAsiaTheme="minorEastAsia" w:hAnsi="Cambria Math"/>
            <w:szCs w:val="24"/>
          </w:rPr>
          <m:t>.</m:t>
        </m:r>
      </m:oMath>
      <w:r w:rsidR="00B05955">
        <w:rPr>
          <w:szCs w:val="24"/>
        </w:rPr>
        <w:t xml:space="preserve"> Thus, </w:t>
      </w:r>
      <w:r w:rsidR="00F357CC">
        <w:rPr>
          <w:szCs w:val="24"/>
        </w:rPr>
        <w:t xml:space="preserve">conditional </w:t>
      </w:r>
      <w:r w:rsidR="00F357CC" w:rsidRPr="00E27CE1">
        <w:rPr>
          <w:szCs w:val="24"/>
        </w:rPr>
        <w:t xml:space="preserve">on </w:t>
      </w:r>
      <m:oMath>
        <m:r>
          <w:rPr>
            <w:rFonts w:ascii="Cambria Math" w:hAnsi="Cambria Math"/>
            <w:szCs w:val="24"/>
          </w:rPr>
          <m:t>σ, ϑ and ρ</m:t>
        </m:r>
      </m:oMath>
      <w:r w:rsidR="00F357CC" w:rsidRPr="00E27CE1">
        <w:rPr>
          <w:szCs w:val="24"/>
        </w:rPr>
        <w:t>, the</w:t>
      </w:r>
      <w:r w:rsidR="00F357CC">
        <w:rPr>
          <w:szCs w:val="24"/>
        </w:rPr>
        <w:t xml:space="preserve"> probability </w:t>
      </w:r>
      <w:r w:rsidR="00D60068">
        <w:rPr>
          <w:szCs w:val="24"/>
        </w:rPr>
        <w:t xml:space="preserve">formula </w:t>
      </w:r>
      <w:r w:rsidR="00F357CC">
        <w:rPr>
          <w:szCs w:val="24"/>
        </w:rPr>
        <w:t xml:space="preserve">for observation </w:t>
      </w:r>
      <m:oMath>
        <m:r>
          <w:rPr>
            <w:rFonts w:ascii="Cambria Math" w:hAnsi="Cambria Math"/>
            <w:szCs w:val="24"/>
          </w:rPr>
          <m:t>i</m:t>
        </m:r>
      </m:oMath>
      <w:r w:rsidR="00F357CC">
        <w:rPr>
          <w:szCs w:val="24"/>
        </w:rPr>
        <w:t xml:space="preserve"> and alternative </w:t>
      </w:r>
      <m:oMath>
        <m:r>
          <w:rPr>
            <w:rFonts w:ascii="Cambria Math" w:hAnsi="Cambria Math"/>
            <w:szCs w:val="24"/>
          </w:rPr>
          <m:t>j</m:t>
        </m:r>
      </m:oMath>
      <w:r w:rsidR="00F357CC">
        <w:rPr>
          <w:szCs w:val="24"/>
        </w:rPr>
        <w:t xml:space="preserve"> in </w:t>
      </w:r>
      <w:r w:rsidR="005437A0">
        <w:rPr>
          <w:szCs w:val="24"/>
        </w:rPr>
        <w:t>M</w:t>
      </w:r>
      <w:r w:rsidR="00F357CC">
        <w:rPr>
          <w:szCs w:val="24"/>
        </w:rPr>
        <w:t xml:space="preserve">GOL model </w:t>
      </w:r>
      <w:r w:rsidR="00D60068">
        <w:rPr>
          <w:szCs w:val="24"/>
        </w:rPr>
        <w:t>is computed as shown below</w:t>
      </w:r>
      <w:r w:rsidR="00F357CC">
        <w:rPr>
          <w:szCs w:val="24"/>
        </w:rPr>
        <w:t>:</w:t>
      </w:r>
    </w:p>
    <w:p w14:paraId="0C5CCDBF" w14:textId="77777777" w:rsidR="00E94B59" w:rsidRPr="00DA78F8" w:rsidRDefault="00E94B59" w:rsidP="00DA78F8">
      <w:pPr>
        <w:spacing w:after="0"/>
        <w:jc w:val="both"/>
        <w:rPr>
          <w:rFonts w:eastAsiaTheme="minorEastAsia"/>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F357CC" w14:paraId="6390CCB0" w14:textId="77777777" w:rsidTr="008D1188">
        <w:tc>
          <w:tcPr>
            <w:tcW w:w="8545" w:type="dxa"/>
            <w:vAlign w:val="center"/>
          </w:tcPr>
          <w:p w14:paraId="67B3E4D1" w14:textId="5C9C7640" w:rsidR="00F357CC" w:rsidRPr="00E94B59" w:rsidRDefault="006633EA" w:rsidP="00C55977">
            <w:pPr>
              <w:spacing w:before="240"/>
              <w:rPr>
                <w:sz w:val="22"/>
              </w:rPr>
            </w:pPr>
            <m:oMathPara>
              <m:oMathParaPr>
                <m:jc m:val="left"/>
              </m:oMathParaPr>
              <m:oMath>
                <m:func>
                  <m:funcPr>
                    <m:ctrlPr>
                      <w:rPr>
                        <w:rFonts w:ascii="Cambria Math" w:hAnsi="Cambria Math"/>
                        <w:i/>
                        <w:sz w:val="22"/>
                      </w:rPr>
                    </m:ctrlPr>
                  </m:funcPr>
                  <m:fName>
                    <m:r>
                      <w:rPr>
                        <w:rFonts w:ascii="Cambria Math"/>
                        <w:sz w:val="22"/>
                      </w:rPr>
                      <m:t>Pr</m:t>
                    </m:r>
                  </m:fName>
                  <m:e>
                    <m:d>
                      <m:dPr>
                        <m:ctrlPr>
                          <w:rPr>
                            <w:rFonts w:ascii="Cambria Math" w:hAnsi="Cambria Math"/>
                            <w:i/>
                            <w:sz w:val="22"/>
                          </w:rPr>
                        </m:ctrlPr>
                      </m:dPr>
                      <m:e>
                        <m:sSub>
                          <m:sSubPr>
                            <m:ctrlPr>
                              <w:rPr>
                                <w:rFonts w:ascii="Cambria Math" w:hAnsi="Cambria Math"/>
                                <w:i/>
                                <w:sz w:val="22"/>
                              </w:rPr>
                            </m:ctrlPr>
                          </m:sSubPr>
                          <m:e>
                            <m:r>
                              <w:rPr>
                                <w:rFonts w:ascii="Cambria Math" w:hAnsi="Cambria Math"/>
                                <w:sz w:val="22"/>
                              </w:rPr>
                              <m:t>y</m:t>
                            </m:r>
                          </m:e>
                          <m:sub>
                            <m:r>
                              <w:rPr>
                                <w:rFonts w:ascii="Cambria Math" w:hAnsi="Cambria Math"/>
                                <w:sz w:val="22"/>
                              </w:rPr>
                              <m:t>i</m:t>
                            </m:r>
                          </m:sub>
                        </m:sSub>
                        <m:r>
                          <w:rPr>
                            <w:rFonts w:ascii="Cambria Math"/>
                            <w:sz w:val="22"/>
                          </w:rPr>
                          <m:t>=</m:t>
                        </m:r>
                        <m:r>
                          <w:rPr>
                            <w:rFonts w:ascii="Cambria Math"/>
                            <w:sz w:val="22"/>
                          </w:rPr>
                          <m:t>j</m:t>
                        </m:r>
                      </m:e>
                      <m:e>
                        <m:sSub>
                          <m:sSubPr>
                            <m:ctrlPr>
                              <w:rPr>
                                <w:rFonts w:ascii="Cambria Math" w:hAnsi="Cambria Math"/>
                                <w:i/>
                                <w:sz w:val="22"/>
                              </w:rPr>
                            </m:ctrlPr>
                          </m:sSubPr>
                          <m:e>
                            <m:r>
                              <w:rPr>
                                <w:rFonts w:ascii="Cambria Math" w:hAnsi="Cambria Math"/>
                                <w:sz w:val="22"/>
                              </w:rPr>
                              <m:t>μ</m:t>
                            </m:r>
                          </m:e>
                          <m:sub>
                            <m:r>
                              <w:rPr>
                                <w:rFonts w:ascii="Cambria Math" w:hAnsi="Cambria Math"/>
                                <w:sz w:val="22"/>
                              </w:rPr>
                              <m:t>i</m:t>
                            </m:r>
                          </m:sub>
                        </m:sSub>
                        <m:r>
                          <m:rPr>
                            <m:sty m:val="p"/>
                          </m:rPr>
                          <w:rPr>
                            <w:rFonts w:ascii="Cambria Math" w:hAnsi="Cambria Math"/>
                            <w:sz w:val="22"/>
                          </w:rPr>
                          <m:t>,</m:t>
                        </m:r>
                        <m:sSub>
                          <m:sSubPr>
                            <m:ctrlPr>
                              <w:rPr>
                                <w:rFonts w:ascii="Cambria Math" w:hAnsi="Cambria Math"/>
                                <w:i/>
                                <w:sz w:val="22"/>
                              </w:rPr>
                            </m:ctrlPr>
                          </m:sSubPr>
                          <m:e>
                            <m:r>
                              <w:rPr>
                                <w:rFonts w:ascii="Cambria Math" w:hAnsi="Cambria Math"/>
                                <w:sz w:val="22"/>
                              </w:rPr>
                              <m:t>γ</m:t>
                            </m:r>
                          </m:e>
                          <m:sub>
                            <m:r>
                              <w:rPr>
                                <w:rFonts w:ascii="Cambria Math" w:hAnsi="Cambria Math"/>
                                <w:sz w:val="22"/>
                              </w:rPr>
                              <m:t>ij</m:t>
                            </m:r>
                            <m:r>
                              <w:rPr>
                                <w:rFonts w:ascii="Cambria Math" w:hAnsi="Cambria Math" w:cs="Times New Roman"/>
                                <w:sz w:val="22"/>
                              </w:rPr>
                              <m:t xml:space="preserve">, </m:t>
                            </m:r>
                          </m:sub>
                        </m:sSub>
                        <m:sSub>
                          <m:sSubPr>
                            <m:ctrlPr>
                              <w:rPr>
                                <w:rFonts w:ascii="Cambria Math" w:hAnsi="Cambria Math"/>
                                <w:i/>
                                <w:sz w:val="22"/>
                              </w:rPr>
                            </m:ctrlPr>
                          </m:sSubPr>
                          <m:e>
                            <m:r>
                              <w:rPr>
                                <w:rFonts w:ascii="Cambria Math" w:hAnsi="Cambria Math"/>
                                <w:sz w:val="22"/>
                              </w:rPr>
                              <m:t>η</m:t>
                            </m:r>
                          </m:e>
                          <m:sub>
                            <m:r>
                              <w:rPr>
                                <w:rFonts w:ascii="Cambria Math"/>
                                <w:sz w:val="22"/>
                              </w:rPr>
                              <m:t>k</m:t>
                            </m:r>
                          </m:sub>
                        </m:sSub>
                      </m:e>
                    </m:d>
                    <m:r>
                      <w:rPr>
                        <w:rFonts w:ascii="Cambria Math"/>
                        <w:sz w:val="22"/>
                      </w:rPr>
                      <m:t>=</m:t>
                    </m:r>
                    <m:r>
                      <w:rPr>
                        <w:rFonts w:ascii="Cambria Math"/>
                        <w:sz w:val="22"/>
                      </w:rPr>
                      <m:t>Λ</m:t>
                    </m:r>
                    <m:d>
                      <m:dPr>
                        <m:ctrlPr>
                          <w:rPr>
                            <w:rFonts w:ascii="Cambria Math" w:hAnsi="Cambria Math"/>
                            <w:i/>
                            <w:sz w:val="22"/>
                          </w:rPr>
                        </m:ctrlPr>
                      </m:dPr>
                      <m:e>
                        <m:sSub>
                          <m:sSubPr>
                            <m:ctrlPr>
                              <w:rPr>
                                <w:rFonts w:ascii="Cambria Math" w:hAnsi="Cambria Math"/>
                                <w:i/>
                                <w:sz w:val="22"/>
                              </w:rPr>
                            </m:ctrlPr>
                          </m:sSubPr>
                          <m:e>
                            <m:r>
                              <w:rPr>
                                <w:rFonts w:ascii="Cambria Math"/>
                                <w:sz w:val="22"/>
                              </w:rPr>
                              <m:t>τ</m:t>
                            </m:r>
                          </m:e>
                          <m:sub>
                            <m:r>
                              <w:rPr>
                                <w:rFonts w:ascii="Cambria Math"/>
                                <w:sz w:val="22"/>
                              </w:rPr>
                              <m:t>i</m:t>
                            </m:r>
                            <m:r>
                              <w:rPr>
                                <w:rFonts w:ascii="Cambria Math"/>
                                <w:sz w:val="22"/>
                              </w:rPr>
                              <m:t>,</m:t>
                            </m:r>
                            <m:r>
                              <w:rPr>
                                <w:rFonts w:ascii="Cambria Math"/>
                                <w:sz w:val="22"/>
                              </w:rPr>
                              <m:t>j</m:t>
                            </m:r>
                          </m:sub>
                        </m:sSub>
                        <m:r>
                          <w:rPr>
                            <w:rFonts w:ascii="Cambria Math"/>
                            <w:sz w:val="22"/>
                          </w:rPr>
                          <m:t>-</m:t>
                        </m:r>
                        <m:sSub>
                          <m:sSubPr>
                            <m:ctrlPr>
                              <w:rPr>
                                <w:rFonts w:ascii="Cambria Math" w:hAnsi="Cambria Math"/>
                                <w:i/>
                                <w:sz w:val="22"/>
                              </w:rPr>
                            </m:ctrlPr>
                          </m:sSubPr>
                          <m:e>
                            <m:r>
                              <w:rPr>
                                <w:rFonts w:ascii="Cambria Math" w:hAnsi="Cambria Math"/>
                                <w:sz w:val="22"/>
                              </w:rPr>
                              <m:t>((</m:t>
                            </m:r>
                            <m:r>
                              <w:rPr>
                                <w:rFonts w:ascii="Cambria Math" w:hAnsi="Cambria Math"/>
                                <w:sz w:val="22"/>
                              </w:rPr>
                              <m:t>X</m:t>
                            </m:r>
                          </m:e>
                          <m:sub>
                            <m:r>
                              <w:rPr>
                                <w:rFonts w:ascii="Cambria Math"/>
                                <w:sz w:val="22"/>
                              </w:rPr>
                              <m:t>i</m:t>
                            </m:r>
                          </m:sub>
                        </m:sSub>
                        <m:r>
                          <w:rPr>
                            <w:rFonts w:ascii="Cambria Math"/>
                            <w:sz w:val="22"/>
                          </w:rPr>
                          <m:t>+</m:t>
                        </m:r>
                        <m:sSub>
                          <m:sSubPr>
                            <m:ctrlPr>
                              <w:rPr>
                                <w:rFonts w:ascii="Cambria Math" w:hAnsi="Cambria Math"/>
                                <w:i/>
                                <w:sz w:val="22"/>
                              </w:rPr>
                            </m:ctrlPr>
                          </m:sSubPr>
                          <m:e>
                            <m:r>
                              <w:rPr>
                                <w:rFonts w:ascii="Cambria Math" w:hAnsi="Cambria Math"/>
                                <w:sz w:val="22"/>
                              </w:rPr>
                              <m:t>μ</m:t>
                            </m:r>
                          </m:e>
                          <m:sub>
                            <m:r>
                              <w:rPr>
                                <w:rFonts w:ascii="Cambria Math" w:hAnsi="Cambria Math"/>
                                <w:sz w:val="22"/>
                              </w:rPr>
                              <m:t>i</m:t>
                            </m:r>
                          </m:sub>
                        </m:sSub>
                        <m:r>
                          <w:rPr>
                            <w:rFonts w:ascii="Cambria Math"/>
                            <w:sz w:val="22"/>
                          </w:rPr>
                          <m:t>)</m:t>
                        </m:r>
                        <m:r>
                          <w:rPr>
                            <w:rFonts w:ascii="Cambria Math"/>
                            <w:sz w:val="22"/>
                          </w:rPr>
                          <m:t>β</m:t>
                        </m:r>
                        <m:r>
                          <w:rPr>
                            <w:rFonts w:ascii="Cambria Math"/>
                            <w:sz w:val="22"/>
                          </w:rPr>
                          <m:t>+</m:t>
                        </m:r>
                        <m:sSub>
                          <m:sSubPr>
                            <m:ctrlPr>
                              <w:rPr>
                                <w:rFonts w:ascii="Cambria Math" w:hAnsi="Cambria Math" w:cs="Times New Roman"/>
                                <w:sz w:val="22"/>
                              </w:rPr>
                            </m:ctrlPr>
                          </m:sSubPr>
                          <m:e>
                            <m:r>
                              <m:rPr>
                                <m:sty m:val="p"/>
                              </m:rPr>
                              <w:rPr>
                                <w:rFonts w:ascii="Cambria Math" w:hAnsi="Cambria Math" w:cs="Times New Roman"/>
                                <w:sz w:val="22"/>
                              </w:rPr>
                              <m:t>(</m:t>
                            </m:r>
                            <m:r>
                              <w:rPr>
                                <w:rFonts w:ascii="Cambria Math" w:hAnsi="Cambria Math" w:cs="Times New Roman"/>
                                <w:sz w:val="22"/>
                              </w:rPr>
                              <m:t>η</m:t>
                            </m:r>
                          </m:e>
                          <m:sub>
                            <m:r>
                              <w:rPr>
                                <w:rFonts w:ascii="Cambria Math" w:cs="Times New Roman"/>
                                <w:sz w:val="22"/>
                              </w:rPr>
                              <m:t>k</m:t>
                            </m:r>
                          </m:sub>
                        </m:sSub>
                        <m:r>
                          <w:rPr>
                            <w:rFonts w:ascii="Cambria Math" w:cs="Times New Roman"/>
                            <w:sz w:val="22"/>
                          </w:rPr>
                          <m:t>)</m:t>
                        </m:r>
                        <m:sSub>
                          <m:sSubPr>
                            <m:ctrlPr>
                              <w:rPr>
                                <w:rFonts w:ascii="Cambria Math" w:hAnsi="Cambria Math" w:cs="Times New Roman"/>
                                <w:i/>
                                <w:sz w:val="22"/>
                              </w:rPr>
                            </m:ctrlPr>
                          </m:sSubPr>
                          <m:e>
                            <m:r>
                              <w:rPr>
                                <w:rFonts w:ascii="Cambria Math" w:cs="Times New Roman"/>
                                <w:sz w:val="22"/>
                              </w:rPr>
                              <m:t>X</m:t>
                            </m:r>
                          </m:e>
                          <m:sub>
                            <m:r>
                              <w:rPr>
                                <w:rFonts w:ascii="Cambria Math" w:cs="Times New Roman"/>
                                <w:sz w:val="22"/>
                              </w:rPr>
                              <m:t>i</m:t>
                            </m:r>
                          </m:sub>
                        </m:sSub>
                        <m:r>
                          <w:rPr>
                            <w:rFonts w:ascii="Cambria Math" w:hAnsi="Cambria Math" w:cs="Times New Roman"/>
                            <w:sz w:val="22"/>
                          </w:rPr>
                          <m:t>)</m:t>
                        </m:r>
                      </m:e>
                    </m:d>
                    <m:r>
                      <w:rPr>
                        <w:rFonts w:ascii="Cambria Math"/>
                        <w:sz w:val="22"/>
                      </w:rPr>
                      <m:t>-</m:t>
                    </m:r>
                  </m:e>
                </m:func>
                <m:r>
                  <w:rPr>
                    <w:rFonts w:ascii="Cambria Math"/>
                    <w:sz w:val="22"/>
                  </w:rPr>
                  <m:t>Λ</m:t>
                </m:r>
                <m:d>
                  <m:dPr>
                    <m:ctrlPr>
                      <w:rPr>
                        <w:rFonts w:ascii="Cambria Math" w:hAnsi="Cambria Math"/>
                        <w:i/>
                        <w:sz w:val="22"/>
                      </w:rPr>
                    </m:ctrlPr>
                  </m:dPr>
                  <m:e>
                    <m:sSub>
                      <m:sSubPr>
                        <m:ctrlPr>
                          <w:rPr>
                            <w:rFonts w:ascii="Cambria Math" w:hAnsi="Cambria Math"/>
                            <w:i/>
                            <w:sz w:val="22"/>
                          </w:rPr>
                        </m:ctrlPr>
                      </m:sSubPr>
                      <m:e>
                        <m:r>
                          <w:rPr>
                            <w:rFonts w:ascii="Cambria Math"/>
                            <w:sz w:val="22"/>
                          </w:rPr>
                          <m:t>τ</m:t>
                        </m:r>
                      </m:e>
                      <m:sub>
                        <m:r>
                          <w:rPr>
                            <w:rFonts w:ascii="Cambria Math"/>
                            <w:sz w:val="22"/>
                          </w:rPr>
                          <m:t>i</m:t>
                        </m:r>
                        <m:r>
                          <w:rPr>
                            <w:rFonts w:ascii="Cambria Math"/>
                            <w:sz w:val="22"/>
                          </w:rPr>
                          <m:t xml:space="preserve">, </m:t>
                        </m:r>
                        <m:r>
                          <w:rPr>
                            <w:rFonts w:ascii="Cambria Math"/>
                            <w:sz w:val="22"/>
                          </w:rPr>
                          <m:t>j</m:t>
                        </m:r>
                        <m:r>
                          <w:rPr>
                            <w:rFonts w:ascii="Cambria Math"/>
                            <w:sz w:val="22"/>
                          </w:rPr>
                          <m:t>-</m:t>
                        </m:r>
                        <m:r>
                          <w:rPr>
                            <w:rFonts w:ascii="Cambria Math"/>
                            <w:sz w:val="22"/>
                          </w:rPr>
                          <m:t>1</m:t>
                        </m:r>
                      </m:sub>
                    </m:sSub>
                    <m:r>
                      <w:rPr>
                        <w:rFonts w:ascii="Cambria Math"/>
                        <w:sz w:val="22"/>
                      </w:rPr>
                      <m:t>-</m:t>
                    </m:r>
                    <m:r>
                      <w:rPr>
                        <w:rFonts w:ascii="Cambria Math"/>
                        <w:sz w:val="22"/>
                      </w:rPr>
                      <m:t>(</m:t>
                    </m:r>
                    <m:sSub>
                      <m:sSubPr>
                        <m:ctrlPr>
                          <w:rPr>
                            <w:rFonts w:ascii="Cambria Math" w:hAnsi="Cambria Math"/>
                            <w:i/>
                            <w:sz w:val="22"/>
                          </w:rPr>
                        </m:ctrlPr>
                      </m:sSubPr>
                      <m:e>
                        <m:r>
                          <w:rPr>
                            <w:rFonts w:ascii="Cambria Math" w:hAnsi="Cambria Math"/>
                            <w:sz w:val="22"/>
                          </w:rPr>
                          <m:t>(</m:t>
                        </m:r>
                        <m:r>
                          <w:rPr>
                            <w:rFonts w:ascii="Cambria Math" w:hAnsi="Cambria Math"/>
                            <w:sz w:val="22"/>
                          </w:rPr>
                          <m:t>X</m:t>
                        </m:r>
                      </m:e>
                      <m:sub>
                        <m:r>
                          <w:rPr>
                            <w:rFonts w:ascii="Cambria Math"/>
                            <w:sz w:val="22"/>
                          </w:rPr>
                          <m:t>i</m:t>
                        </m:r>
                      </m:sub>
                    </m:sSub>
                    <m:r>
                      <w:rPr>
                        <w:rFonts w:ascii="Cambria Math"/>
                        <w:sz w:val="22"/>
                      </w:rPr>
                      <m:t>+</m:t>
                    </m:r>
                    <m:sSub>
                      <m:sSubPr>
                        <m:ctrlPr>
                          <w:rPr>
                            <w:rFonts w:ascii="Cambria Math" w:hAnsi="Cambria Math"/>
                            <w:i/>
                            <w:sz w:val="22"/>
                          </w:rPr>
                        </m:ctrlPr>
                      </m:sSubPr>
                      <m:e>
                        <m:r>
                          <w:rPr>
                            <w:rFonts w:ascii="Cambria Math" w:hAnsi="Cambria Math"/>
                            <w:sz w:val="22"/>
                          </w:rPr>
                          <m:t>μ</m:t>
                        </m:r>
                      </m:e>
                      <m:sub>
                        <m:r>
                          <w:rPr>
                            <w:rFonts w:ascii="Cambria Math" w:hAnsi="Cambria Math"/>
                            <w:sz w:val="22"/>
                          </w:rPr>
                          <m:t>i</m:t>
                        </m:r>
                      </m:sub>
                    </m:sSub>
                    <m:r>
                      <w:rPr>
                        <w:rFonts w:ascii="Cambria Math"/>
                        <w:sz w:val="22"/>
                      </w:rPr>
                      <m:t>)</m:t>
                    </m:r>
                    <m:r>
                      <w:rPr>
                        <w:rFonts w:ascii="Cambria Math"/>
                        <w:sz w:val="22"/>
                      </w:rPr>
                      <m:t>β</m:t>
                    </m:r>
                    <m:r>
                      <w:rPr>
                        <w:rFonts w:ascii="Cambria Math"/>
                        <w:sz w:val="22"/>
                      </w:rPr>
                      <m:t>+</m:t>
                    </m:r>
                    <m:sSub>
                      <m:sSubPr>
                        <m:ctrlPr>
                          <w:rPr>
                            <w:rFonts w:ascii="Cambria Math" w:hAnsi="Cambria Math" w:cs="Times New Roman"/>
                            <w:sz w:val="22"/>
                          </w:rPr>
                        </m:ctrlPr>
                      </m:sSubPr>
                      <m:e>
                        <m:r>
                          <m:rPr>
                            <m:sty m:val="p"/>
                          </m:rPr>
                          <w:rPr>
                            <w:rFonts w:ascii="Cambria Math" w:hAnsi="Cambria Math" w:cs="Times New Roman"/>
                            <w:sz w:val="22"/>
                          </w:rPr>
                          <m:t>(</m:t>
                        </m:r>
                        <m:r>
                          <w:rPr>
                            <w:rFonts w:ascii="Cambria Math" w:hAnsi="Cambria Math" w:cs="Times New Roman"/>
                            <w:sz w:val="22"/>
                          </w:rPr>
                          <m:t>η</m:t>
                        </m:r>
                      </m:e>
                      <m:sub>
                        <m:r>
                          <w:rPr>
                            <w:rFonts w:ascii="Cambria Math" w:cs="Times New Roman"/>
                            <w:sz w:val="22"/>
                          </w:rPr>
                          <m:t>k</m:t>
                        </m:r>
                      </m:sub>
                    </m:sSub>
                    <m:r>
                      <w:rPr>
                        <w:rFonts w:ascii="Cambria Math" w:cs="Times New Roman"/>
                        <w:sz w:val="22"/>
                      </w:rPr>
                      <m:t>)</m:t>
                    </m:r>
                    <m:sSub>
                      <m:sSubPr>
                        <m:ctrlPr>
                          <w:rPr>
                            <w:rFonts w:ascii="Cambria Math" w:hAnsi="Cambria Math" w:cs="Times New Roman"/>
                            <w:i/>
                            <w:sz w:val="22"/>
                          </w:rPr>
                        </m:ctrlPr>
                      </m:sSubPr>
                      <m:e>
                        <m:r>
                          <w:rPr>
                            <w:rFonts w:ascii="Cambria Math" w:cs="Times New Roman"/>
                            <w:sz w:val="22"/>
                          </w:rPr>
                          <m:t>X</m:t>
                        </m:r>
                      </m:e>
                      <m:sub>
                        <m:r>
                          <w:rPr>
                            <w:rFonts w:ascii="Cambria Math" w:cs="Times New Roman"/>
                            <w:sz w:val="22"/>
                          </w:rPr>
                          <m:t>i</m:t>
                        </m:r>
                      </m:sub>
                    </m:sSub>
                    <m:r>
                      <w:rPr>
                        <w:rFonts w:ascii="Cambria Math" w:hAnsi="Cambria Math" w:cs="Times New Roman"/>
                        <w:sz w:val="22"/>
                      </w:rPr>
                      <m:t>)</m:t>
                    </m:r>
                  </m:e>
                </m:d>
                <m:r>
                  <w:rPr>
                    <w:rFonts w:ascii="Cambria Math" w:hAnsi="Cambria Math"/>
                    <w:sz w:val="22"/>
                  </w:rPr>
                  <m:t xml:space="preserve"> </m:t>
                </m:r>
              </m:oMath>
            </m:oMathPara>
          </w:p>
        </w:tc>
        <w:tc>
          <w:tcPr>
            <w:tcW w:w="805" w:type="dxa"/>
            <w:vAlign w:val="center"/>
          </w:tcPr>
          <w:p w14:paraId="7B5E1677" w14:textId="1C25450C" w:rsidR="00F357CC" w:rsidRDefault="00F357CC" w:rsidP="00E94B59">
            <w:pPr>
              <w:spacing w:before="240"/>
              <w:jc w:val="right"/>
              <w:rPr>
                <w:szCs w:val="24"/>
              </w:rPr>
            </w:pPr>
            <w:r>
              <w:rPr>
                <w:szCs w:val="24"/>
              </w:rPr>
              <w:t>(</w:t>
            </w:r>
            <w:r w:rsidR="00C563F6">
              <w:rPr>
                <w:szCs w:val="24"/>
              </w:rPr>
              <w:t>10</w:t>
            </w:r>
            <w:r>
              <w:rPr>
                <w:szCs w:val="24"/>
              </w:rPr>
              <w:t>)</w:t>
            </w:r>
          </w:p>
        </w:tc>
      </w:tr>
    </w:tbl>
    <w:p w14:paraId="327EC9DA" w14:textId="77777777" w:rsidR="00F3145B" w:rsidRDefault="00F3145B" w:rsidP="009D5C96">
      <w:pPr>
        <w:jc w:val="both"/>
      </w:pPr>
    </w:p>
    <w:p w14:paraId="6221FE69" w14:textId="7401D725" w:rsidR="00941B15" w:rsidRDefault="00941B15" w:rsidP="00C52F51">
      <w:pPr>
        <w:ind w:firstLine="720"/>
        <w:jc w:val="both"/>
      </w:pPr>
      <w:r>
        <w:t>The unconditional probability can be expressed as below</w:t>
      </w:r>
      <w:r w:rsidR="00644C3A">
        <w:t xml:space="preserve"> </w:t>
      </w:r>
      <w:r w:rsidR="00644C3A">
        <w:fldChar w:fldCharType="begin" w:fldLock="1"/>
      </w:r>
      <w:r w:rsidR="002126A5">
        <w:instrText>ADDIN CSL_CITATION {"citationItems":[{"id":"ITEM-1","itemData":{"DOI":"10.1016/j.amar.2015.04.002","ISSN":"22136657","abstract":"While there is growing application of generalized ordered outcome model variants (widely known as Generalized Ordered Logit (GOL) model and Partial Proportional Odds Logit (PPO) model) in crash injury severity analysis, there are several aspects of these approaches that are not well documented in extant safety literature. The current research note presents the relationship between these two variants of generalized ordered outcome models and elaborates on model interpretation issues. While these variants arise from different mathematical approaches employed to enhance the traditional ordered outcome model, we establish that these are mathematically identical. We also discuss how one can facilitate estimation and interpretation while building on the ordered outcome model estimates - a useful process for practitioners considering upgrading their existing traditional ordered logit/probit injury severity models. Finally, the note presents the differences within GOL and PPO model frameworks, for accommodating the effect of unobserved heterogeneity, referred to as Mixed Generalized Ordered Logit (MGOL) and Mixed Partial Proportional Odds Logit (MPPO) models while also discussing the computational difficulties that may arise in estimating these models.","author":[{"dropping-particle":"","family":"Eluru","given":"Naveen","non-dropping-particle":"","parse-names":false,"suffix":""},{"dropping-particle":"","family":"Yasmin","given":"Shamsunnahar","non-dropping-particle":"","parse-names":false,"suffix":""}],"container-title":"Analytic Methods in Accident Research","id":"ITEM-1","issued":{"date-parts":[["2015"]]},"page":"1-6","publisher":"Elsevier","title":"A note on generalized ordered outcome models","type":"article-journal","volume":"8"},"uris":["http://www.mendeley.com/documents/?uuid=772cd8b8-68a2-4d05-891c-94e56676a5e3"]}],"mendeley":{"formattedCitation":"(Eluru and Yasmin 2015)","manualFormatting":"(Eluru and Yasmin 2015)","plainTextFormattedCitation":"(Eluru and Yasmin 2015)","previouslyFormattedCitation":"(Eluru and Yasmin 2015)"},"properties":{"noteIndex":0},"schema":"https://github.com/citation-style-language/schema/raw/master/csl-citation.json"}</w:instrText>
      </w:r>
      <w:r w:rsidR="00644C3A">
        <w:fldChar w:fldCharType="separate"/>
      </w:r>
      <w:r w:rsidR="00644C3A" w:rsidRPr="00644C3A">
        <w:rPr>
          <w:noProof/>
        </w:rPr>
        <w:t xml:space="preserve">(Eluru </w:t>
      </w:r>
      <w:r w:rsidR="009241A4">
        <w:rPr>
          <w:noProof/>
        </w:rPr>
        <w:t>and</w:t>
      </w:r>
      <w:r w:rsidR="00644C3A" w:rsidRPr="00644C3A">
        <w:rPr>
          <w:noProof/>
        </w:rPr>
        <w:t xml:space="preserve"> Yasmin 2015)</w:t>
      </w:r>
      <w:r w:rsidR="00644C3A">
        <w:fldChar w:fldCharType="end"/>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3"/>
        <w:gridCol w:w="1167"/>
      </w:tblGrid>
      <w:tr w:rsidR="00941B15" w14:paraId="3D7680D9" w14:textId="77777777" w:rsidTr="00BC4E7F">
        <w:tc>
          <w:tcPr>
            <w:tcW w:w="8193" w:type="dxa"/>
          </w:tcPr>
          <w:p w14:paraId="7178B2C3" w14:textId="73BB1782" w:rsidR="00941B15" w:rsidRPr="00E360F0" w:rsidRDefault="00941B15" w:rsidP="00A1133D">
            <w:pPr>
              <w:spacing w:before="240"/>
              <w:rPr>
                <w:szCs w:val="24"/>
              </w:rPr>
            </w:pPr>
            <m:oMathPara>
              <m:oMathParaPr>
                <m:jc m:val="left"/>
              </m:oMathParaPr>
              <m:oMath>
                <m:r>
                  <w:rPr>
                    <w:rFonts w:ascii="Cambria Math"/>
                    <w:szCs w:val="24"/>
                  </w:rPr>
                  <m:t>Pr(</m:t>
                </m:r>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 xml:space="preserve">=j)= </m:t>
                </m:r>
                <m:nary>
                  <m:naryPr>
                    <m:limLoc m:val="subSup"/>
                    <m:ctrlPr>
                      <w:rPr>
                        <w:rFonts w:ascii="Cambria Math" w:hAnsi="Cambria Math"/>
                        <w:i/>
                        <w:szCs w:val="24"/>
                      </w:rPr>
                    </m:ctrlPr>
                  </m:naryPr>
                  <m:sub>
                    <m:sSub>
                      <m:sSubPr>
                        <m:ctrlPr>
                          <w:rPr>
                            <w:rFonts w:ascii="Cambria Math" w:hAnsi="Cambria Math"/>
                            <w:i/>
                            <w:szCs w:val="24"/>
                          </w:rPr>
                        </m:ctrlPr>
                      </m:sSubPr>
                      <m:e>
                        <m:r>
                          <w:rPr>
                            <w:rFonts w:ascii="Cambria Math" w:hAnsi="Cambria Math"/>
                            <w:szCs w:val="24"/>
                          </w:rPr>
                          <m:t>μ</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Sub>
                          <m:sSubPr>
                            <m:ctrlPr>
                              <w:rPr>
                                <w:rFonts w:ascii="Cambria Math" w:hAnsi="Cambria Math" w:cs="Times New Roman"/>
                                <w:i/>
                                <w:iCs/>
                                <w:szCs w:val="24"/>
                              </w:rPr>
                            </m:ctrlPr>
                          </m:sSubPr>
                          <m:e>
                            <m:r>
                              <w:rPr>
                                <w:rFonts w:ascii="Cambria Math" w:hAnsi="Cambria Math" w:cs="Times New Roman"/>
                                <w:szCs w:val="24"/>
                              </w:rPr>
                              <m:t>η</m:t>
                            </m:r>
                          </m:e>
                          <m:sub>
                            <m:r>
                              <w:rPr>
                                <w:rFonts w:ascii="Cambria Math" w:cs="Times New Roman"/>
                                <w:szCs w:val="24"/>
                              </w:rPr>
                              <m:t>k</m:t>
                            </m:r>
                          </m:sub>
                        </m:sSub>
                      </m:sub>
                    </m:sSub>
                  </m:sub>
                  <m:sup/>
                  <m:e>
                    <m:r>
                      <w:rPr>
                        <w:rFonts w:ascii="Cambria Math"/>
                        <w:szCs w:val="24"/>
                      </w:rPr>
                      <m:t>Pr(</m:t>
                    </m:r>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=j|</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r>
                      <w:rPr>
                        <w:rFonts w:ascii="Cambria Math"/>
                        <w:szCs w:val="24"/>
                      </w:rPr>
                      <m:t>,</m:t>
                    </m:r>
                    <m:sSub>
                      <m:sSubPr>
                        <m:ctrlPr>
                          <w:rPr>
                            <w:rFonts w:ascii="Cambria Math" w:hAnsi="Cambria Math" w:cs="Times New Roman"/>
                            <w:i/>
                            <w:iCs/>
                            <w:szCs w:val="24"/>
                          </w:rPr>
                        </m:ctrlPr>
                      </m:sSubPr>
                      <m:e>
                        <m:r>
                          <w:rPr>
                            <w:rFonts w:ascii="Cambria Math" w:hAnsi="Cambria Math" w:cs="Times New Roman"/>
                            <w:szCs w:val="24"/>
                          </w:rPr>
                          <m:t>η</m:t>
                        </m:r>
                      </m:e>
                      <m:sub>
                        <m:r>
                          <w:rPr>
                            <w:rFonts w:ascii="Cambria Math" w:cs="Times New Roman"/>
                            <w:szCs w:val="24"/>
                          </w:rPr>
                          <m:t>k</m:t>
                        </m:r>
                      </m:sub>
                    </m:sSub>
                    <m:r>
                      <w:rPr>
                        <w:rFonts w:ascii="Cambria Math"/>
                        <w:szCs w:val="24"/>
                      </w:rPr>
                      <m:t>)</m:t>
                    </m:r>
                    <m:r>
                      <w:rPr>
                        <w:rFonts w:ascii="Cambria Math" w:hAnsi="Cambria Math"/>
                        <w:spacing w:val="-2"/>
                        <w:szCs w:val="24"/>
                      </w:rPr>
                      <m:t>*dF</m:t>
                    </m:r>
                    <m:d>
                      <m:dPr>
                        <m:ctrlPr>
                          <w:rPr>
                            <w:rFonts w:ascii="Cambria Math" w:hAnsi="Cambria Math"/>
                            <w:i/>
                            <w:spacing w:val="-2"/>
                            <w:szCs w:val="24"/>
                          </w:rPr>
                        </m:ctrlPr>
                      </m:dPr>
                      <m:e>
                        <m:sSub>
                          <m:sSubPr>
                            <m:ctrlPr>
                              <w:rPr>
                                <w:rFonts w:ascii="Cambria Math" w:hAnsi="Cambria Math"/>
                                <w:i/>
                                <w:szCs w:val="24"/>
                              </w:rPr>
                            </m:ctrlPr>
                          </m:sSubPr>
                          <m:e>
                            <m:r>
                              <w:rPr>
                                <w:rFonts w:ascii="Cambria Math" w:hAnsi="Cambria Math"/>
                                <w:szCs w:val="24"/>
                              </w:rPr>
                              <m:t>μ</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r>
                          <w:rPr>
                            <w:rFonts w:ascii="Cambria Math" w:hAnsi="Cambria Math"/>
                            <w:szCs w:val="24"/>
                          </w:rPr>
                          <m:t>,</m:t>
                        </m:r>
                        <m:sSub>
                          <m:sSubPr>
                            <m:ctrlPr>
                              <w:rPr>
                                <w:rFonts w:ascii="Cambria Math" w:hAnsi="Cambria Math" w:cs="Times New Roman"/>
                                <w:i/>
                                <w:iCs/>
                                <w:szCs w:val="24"/>
                              </w:rPr>
                            </m:ctrlPr>
                          </m:sSubPr>
                          <m:e>
                            <m:r>
                              <w:rPr>
                                <w:rFonts w:ascii="Cambria Math" w:hAnsi="Cambria Math" w:cs="Times New Roman"/>
                                <w:szCs w:val="24"/>
                              </w:rPr>
                              <m:t>η</m:t>
                            </m:r>
                          </m:e>
                          <m:sub>
                            <m:r>
                              <w:rPr>
                                <w:rFonts w:ascii="Cambria Math" w:cs="Times New Roman"/>
                                <w:szCs w:val="24"/>
                              </w:rPr>
                              <m:t>k</m:t>
                            </m:r>
                          </m:sub>
                        </m:sSub>
                      </m:e>
                    </m:d>
                    <m:r>
                      <w:rPr>
                        <w:rFonts w:ascii="Cambria Math" w:hAnsi="Cambria Math"/>
                        <w:spacing w:val="-2"/>
                        <w:szCs w:val="24"/>
                      </w:rPr>
                      <m:t>d(</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ij,</m:t>
                        </m:r>
                      </m:sub>
                    </m:sSub>
                    <m:sSub>
                      <m:sSubPr>
                        <m:ctrlPr>
                          <w:rPr>
                            <w:rFonts w:ascii="Cambria Math" w:hAnsi="Cambria Math" w:cs="Times New Roman"/>
                            <w:i/>
                            <w:iCs/>
                            <w:szCs w:val="24"/>
                          </w:rPr>
                        </m:ctrlPr>
                      </m:sSubPr>
                      <m:e>
                        <m:r>
                          <w:rPr>
                            <w:rFonts w:ascii="Cambria Math" w:hAnsi="Cambria Math" w:cs="Times New Roman"/>
                            <w:szCs w:val="24"/>
                          </w:rPr>
                          <m:t>η</m:t>
                        </m:r>
                      </m:e>
                      <m:sub>
                        <m:r>
                          <w:rPr>
                            <w:rFonts w:ascii="Cambria Math" w:cs="Times New Roman"/>
                            <w:szCs w:val="24"/>
                          </w:rPr>
                          <m:t>k</m:t>
                        </m:r>
                      </m:sub>
                    </m:sSub>
                    <m:r>
                      <w:rPr>
                        <w:rFonts w:ascii="Cambria Math" w:hAnsi="Cambria Math"/>
                        <w:spacing w:val="-2"/>
                        <w:szCs w:val="24"/>
                      </w:rPr>
                      <m:t>)</m:t>
                    </m:r>
                  </m:e>
                </m:nary>
              </m:oMath>
            </m:oMathPara>
          </w:p>
        </w:tc>
        <w:tc>
          <w:tcPr>
            <w:tcW w:w="1167" w:type="dxa"/>
            <w:vAlign w:val="center"/>
          </w:tcPr>
          <w:p w14:paraId="3E6ED88D" w14:textId="6CE5D82C" w:rsidR="00941B15" w:rsidRDefault="00941B15" w:rsidP="00A1133D">
            <w:pPr>
              <w:spacing w:before="240"/>
              <w:jc w:val="right"/>
              <w:rPr>
                <w:szCs w:val="24"/>
              </w:rPr>
            </w:pPr>
            <w:r>
              <w:rPr>
                <w:szCs w:val="24"/>
              </w:rPr>
              <w:t>(</w:t>
            </w:r>
            <w:r w:rsidR="00C563F6">
              <w:rPr>
                <w:szCs w:val="24"/>
              </w:rPr>
              <w:t>11</w:t>
            </w:r>
            <w:r>
              <w:rPr>
                <w:szCs w:val="24"/>
              </w:rPr>
              <w:t>)</w:t>
            </w:r>
          </w:p>
        </w:tc>
      </w:tr>
    </w:tbl>
    <w:p w14:paraId="44F61934" w14:textId="016AD4FF" w:rsidR="00F422B2" w:rsidRDefault="00BC4E7F" w:rsidP="00C52F51">
      <w:pPr>
        <w:ind w:firstLine="720"/>
        <w:jc w:val="both"/>
      </w:pPr>
      <w:r w:rsidRPr="00BC4E7F">
        <w:t xml:space="preserve">To estimate the </w:t>
      </w:r>
      <w:r w:rsidR="00A2053E">
        <w:t>above MGOR model,</w:t>
      </w:r>
      <w:r>
        <w:t xml:space="preserve"> we apply </w:t>
      </w:r>
      <w:bookmarkStart w:id="0" w:name="_Hlk144388690"/>
      <w:r>
        <w:t xml:space="preserve">Quasi-Monte Carlo simulation techniques </w:t>
      </w:r>
      <w:bookmarkEnd w:id="0"/>
      <w:r>
        <w:t xml:space="preserve">based on scrambled Halton sequences for the maximum simulated likelihood approach (see </w:t>
      </w:r>
      <w:r w:rsidR="00A2053E">
        <w:fldChar w:fldCharType="begin" w:fldLock="1"/>
      </w:r>
      <w:r w:rsidR="00A2053E">
        <w:instrText>ADDIN CSL_CITATION {"citationItems":[{"id":"ITEM-1","itemData":{"DOI":"10.1016/S0191-2615(00)00014-X","ISBN":"1512471453","ISSN":"01912615","abstract":"This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 2001 Elsevier Science Ltd. All rights reserved.","author":[{"dropping-particle":"","family":"Bhat","given":"Chandra R.","non-dropping-particle":"","parse-names":false,"suffix":""}],"container-title":"Transportation Research Part B: Methodological","id":"ITEM-1","issue":"7","issued":{"date-parts":[["2001"]]},"page":"677-693","title":"Quasi-random maximum simulated likelihood estimation of the mixed multinomial logit model","type":"article-journal","volume":"35"},"uris":["http://www.mendeley.com/documents/?uuid=8361ec7a-4ef3-44a7-ae5b-33fda1e838b0"]}],"mendeley":{"formattedCitation":"(Bhat 2001)","manualFormatting":"Bhat 2001","plainTextFormattedCitation":"(Bhat 2001)","previouslyFormattedCitation":"(Bhat 2001)"},"properties":{"noteIndex":0},"schema":"https://github.com/citation-style-language/schema/raw/master/csl-citation.json"}</w:instrText>
      </w:r>
      <w:r w:rsidR="00A2053E">
        <w:fldChar w:fldCharType="separate"/>
      </w:r>
      <w:r w:rsidR="00A2053E" w:rsidRPr="00A2053E">
        <w:rPr>
          <w:noProof/>
        </w:rPr>
        <w:t>Bhat 2001</w:t>
      </w:r>
      <w:r w:rsidR="00A2053E">
        <w:fldChar w:fldCharType="end"/>
      </w:r>
      <w:r>
        <w:t xml:space="preserve">; </w:t>
      </w:r>
      <w:r w:rsidR="00A2053E">
        <w:fldChar w:fldCharType="begin" w:fldLock="1"/>
      </w:r>
      <w:r w:rsidR="008D18A7">
        <w:instrText>ADDIN CSL_CITATION {"citationItems":[{"id":"ITEM-1","itemData":{"DOI":"10.1016/j.aap.2007.11.010","ISSN":"00014575","PMID":"18460372","abstract":"This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 2007 Elsevier Ltd. All rights reserved.","author":[{"dropping-particle":"","family":"Eluru","given":"Naveen","non-dropping-particle":"","parse-names":false,"suffix":""},{"dropping-particle":"","family":"Bhat","given":"Chandra R.","non-dropping-particle":"","parse-names":false,"suffix":""},{"dropping-particle":"","family":"Hensher","given":"David A.","non-dropping-particle":"","parse-names":false,"suffix":""}],"container-title":"Accident Analysis and Prevention","id":"ITEM-1","issue":"3","issued":{"date-parts":[["2008"]]},"page":"1033-1054","title":"A mixed generalized ordered response model for examining pedestrian and bicyclist injury severity level in traffic crashes","type":"article-journal","volume":"40"},"uris":["http://www.mendeley.com/documents/?uuid=e439ac6e-2369-4ff4-b2b4-488712b997fa"]}],"mendeley":{"formattedCitation":"(Eluru et al. 2008)","manualFormatting":"Eluru et al. 2008","plainTextFormattedCitation":"(Eluru et al. 2008)","previouslyFormattedCitation":"(Eluru et al. 2008)"},"properties":{"noteIndex":0},"schema":"https://github.com/citation-style-language/schema/raw/master/csl-citation.json"}</w:instrText>
      </w:r>
      <w:r w:rsidR="00A2053E">
        <w:fldChar w:fldCharType="separate"/>
      </w:r>
      <w:r w:rsidR="00A2053E" w:rsidRPr="00A2053E">
        <w:rPr>
          <w:noProof/>
        </w:rPr>
        <w:t>Eluru et al. 2008</w:t>
      </w:r>
      <w:r w:rsidR="00A2053E">
        <w:fldChar w:fldCharType="end"/>
      </w:r>
      <w:r>
        <w:t xml:space="preserve"> for more details).</w:t>
      </w:r>
      <w:r w:rsidR="00256F69">
        <w:t xml:space="preserve"> The approach followed in this study </w:t>
      </w:r>
      <w:r w:rsidR="00930A02">
        <w:t>employs</w:t>
      </w:r>
      <w:r w:rsidR="00256F69">
        <w:t xml:space="preserve"> </w:t>
      </w:r>
      <w:r w:rsidR="00256F69" w:rsidRPr="00256F69">
        <w:t xml:space="preserve">Halton draws to </w:t>
      </w:r>
      <w:r w:rsidR="00256F69">
        <w:t>calculate</w:t>
      </w:r>
      <w:r w:rsidR="00256F69" w:rsidRPr="00256F69">
        <w:t xml:space="preserve"> the multidimensional integrals</w:t>
      </w:r>
      <w:r w:rsidR="00256F69">
        <w:t xml:space="preserve"> presented in Equation 11. </w:t>
      </w:r>
      <w:r w:rsidR="00226604">
        <w:t xml:space="preserve">The model systems are </w:t>
      </w:r>
      <w:r w:rsidR="00930A02">
        <w:t xml:space="preserve">programmed and </w:t>
      </w:r>
      <w:r w:rsidR="00226604">
        <w:t xml:space="preserve">estimated in GAUSS. </w:t>
      </w:r>
      <w:r w:rsidR="00930A02">
        <w:t xml:space="preserve">As GAUSS is not </w:t>
      </w:r>
      <w:r w:rsidR="00E77501">
        <w:t xml:space="preserve">readily accessible to most </w:t>
      </w:r>
      <w:r w:rsidR="00EE2742">
        <w:t>readers,</w:t>
      </w:r>
      <w:r w:rsidR="00E77501">
        <w:t xml:space="preserve"> we provide our model </w:t>
      </w:r>
      <w:r w:rsidR="00226604">
        <w:t>estimation procedures for OR and GOR model</w:t>
      </w:r>
      <w:r w:rsidR="00E77501">
        <w:t>s</w:t>
      </w:r>
      <w:r w:rsidR="00226604">
        <w:t xml:space="preserve"> using statistical software SAS in </w:t>
      </w:r>
      <w:r w:rsidR="00E77501">
        <w:t xml:space="preserve">the </w:t>
      </w:r>
      <w:r w:rsidR="00803797">
        <w:t>supplementary materials</w:t>
      </w:r>
      <w:r w:rsidR="00226604">
        <w:t xml:space="preserve">. </w:t>
      </w:r>
      <w:r w:rsidR="00E77501">
        <w:t>Advanced</w:t>
      </w:r>
      <w:r w:rsidR="00226604">
        <w:t xml:space="preserve"> readers</w:t>
      </w:r>
      <w:r w:rsidR="00E77501">
        <w:t xml:space="preserve"> with GAUSS access</w:t>
      </w:r>
      <w:r w:rsidR="00226604">
        <w:t xml:space="preserve"> can contact the authors for GAUSS code</w:t>
      </w:r>
      <w:r w:rsidR="00E77501">
        <w:t>s</w:t>
      </w:r>
      <w:r w:rsidR="00226604">
        <w:t xml:space="preserve"> </w:t>
      </w:r>
      <w:r w:rsidR="00E77501">
        <w:t>of advanced GOR variants</w:t>
      </w:r>
      <w:r w:rsidR="00226604">
        <w:t>.</w:t>
      </w:r>
    </w:p>
    <w:p w14:paraId="2FC4B169" w14:textId="6A199EA4" w:rsidR="001478AE" w:rsidRDefault="00DB784E" w:rsidP="00E92707">
      <w:pPr>
        <w:pStyle w:val="Heading1"/>
      </w:pPr>
      <w:r>
        <w:rPr>
          <w:rFonts w:cs="Times New Roman"/>
          <w:szCs w:val="24"/>
        </w:rPr>
        <w:t xml:space="preserve">Ordered Response </w:t>
      </w:r>
      <w:r w:rsidR="00E92707">
        <w:rPr>
          <w:rFonts w:cs="Times New Roman"/>
          <w:szCs w:val="24"/>
        </w:rPr>
        <w:t>F</w:t>
      </w:r>
      <w:r>
        <w:rPr>
          <w:rFonts w:cs="Times New Roman"/>
          <w:szCs w:val="24"/>
        </w:rPr>
        <w:t>ramework</w:t>
      </w:r>
      <w:r w:rsidR="00B516F2">
        <w:rPr>
          <w:rFonts w:cs="Times New Roman"/>
          <w:szCs w:val="24"/>
        </w:rPr>
        <w:t xml:space="preserve"> Applications</w:t>
      </w:r>
    </w:p>
    <w:p w14:paraId="6C6B4549" w14:textId="5C27E551" w:rsidR="004A66EE" w:rsidRDefault="00E14BA8" w:rsidP="00C52F51">
      <w:pPr>
        <w:jc w:val="both"/>
      </w:pPr>
      <w:r>
        <w:t xml:space="preserve">Several research studies have employed </w:t>
      </w:r>
      <w:r w:rsidR="000805A4">
        <w:t>ordered response frameworks. In this section, we provide a review ordered response framework</w:t>
      </w:r>
      <w:r w:rsidR="00431F2C">
        <w:t xml:space="preserve"> applications</w:t>
      </w:r>
      <w:r w:rsidR="000805A4">
        <w:t xml:space="preserve"> including traditional ordered models, generalized ordered models and mixed generalized ordered models</w:t>
      </w:r>
      <w:r w:rsidR="001478AE">
        <w:t xml:space="preserve">. </w:t>
      </w:r>
      <w:r w:rsidR="004B3895">
        <w:t>T</w:t>
      </w:r>
      <w:r w:rsidR="00D436FC">
        <w:t xml:space="preserve">able </w:t>
      </w:r>
      <w:r w:rsidR="004A66EE">
        <w:t xml:space="preserve">1 </w:t>
      </w:r>
      <w:r w:rsidR="00D436FC">
        <w:t xml:space="preserve">provides a summary of </w:t>
      </w:r>
      <w:r w:rsidR="00EC5890">
        <w:t xml:space="preserve">a sample of </w:t>
      </w:r>
      <w:r w:rsidR="00D436FC">
        <w:t>earlier studies with information on s</w:t>
      </w:r>
      <w:r w:rsidR="00D436FC" w:rsidRPr="00146594">
        <w:t>tudy,</w:t>
      </w:r>
      <w:r w:rsidR="00D436FC">
        <w:t xml:space="preserve"> study objective</w:t>
      </w:r>
      <w:r w:rsidR="00D436FC" w:rsidRPr="00146594">
        <w:t>,</w:t>
      </w:r>
      <w:r w:rsidR="00D436FC">
        <w:t xml:space="preserve"> data source,</w:t>
      </w:r>
      <w:r w:rsidR="00D436FC" w:rsidRPr="00146594">
        <w:t xml:space="preserve"> dependent variable</w:t>
      </w:r>
      <w:r w:rsidR="00D436FC">
        <w:t xml:space="preserve"> (number of </w:t>
      </w:r>
      <w:r w:rsidR="00D436FC" w:rsidRPr="00146594">
        <w:t>alternatives</w:t>
      </w:r>
      <w:r w:rsidR="00D436FC">
        <w:t>), alternative</w:t>
      </w:r>
      <w:r w:rsidR="00EC5890">
        <w:t xml:space="preserve"> definitions</w:t>
      </w:r>
      <w:r w:rsidR="00D436FC">
        <w:t>, and</w:t>
      </w:r>
      <w:r w:rsidR="00D436FC" w:rsidRPr="00146594">
        <w:t xml:space="preserve"> </w:t>
      </w:r>
      <w:r w:rsidR="00D436FC">
        <w:t xml:space="preserve">the exact </w:t>
      </w:r>
      <w:r w:rsidR="00D436FC" w:rsidRPr="00146594">
        <w:t xml:space="preserve">model structure </w:t>
      </w:r>
      <w:r w:rsidR="00D436FC">
        <w:t>considered</w:t>
      </w:r>
      <w:r w:rsidR="00EC5890">
        <w:t xml:space="preserve">. Given the dominance of ordered response model applications in the transportation field, studies in the table are organized by transportation and other fields. </w:t>
      </w:r>
      <w:r w:rsidR="00947724">
        <w:t xml:space="preserve">Table </w:t>
      </w:r>
      <w:r w:rsidR="004A66EE">
        <w:t xml:space="preserve">1 </w:t>
      </w:r>
      <w:r w:rsidR="00947724">
        <w:t xml:space="preserve">provides a summary of 21 studies from the transportation domain and 11 studies form other domains. </w:t>
      </w:r>
      <w:r w:rsidR="004A66EE">
        <w:rPr>
          <w:rFonts w:cs="Times New Roman"/>
          <w:szCs w:val="24"/>
        </w:rPr>
        <w:t>The reader would note that literature review was not intended to serve as an exhaustive review – it is developed to provide an overview of different fields of application as well as a representation of different ordered response variants employed across wide range of research domains.</w:t>
      </w:r>
    </w:p>
    <w:p w14:paraId="68A08806" w14:textId="489A99F7" w:rsidR="004A66EE" w:rsidRDefault="00947724" w:rsidP="00CA0C3A">
      <w:pPr>
        <w:ind w:firstLine="720"/>
        <w:jc w:val="both"/>
      </w:pPr>
      <w:r>
        <w:t xml:space="preserve">Several observations can be made from our review. First, </w:t>
      </w:r>
      <w:r w:rsidR="00304C0E">
        <w:t xml:space="preserve">ordered response frameworks have been employed in transportation, </w:t>
      </w:r>
      <w:r w:rsidR="00A05A96" w:rsidRPr="00B33254">
        <w:rPr>
          <w:rFonts w:cs="Times New Roman"/>
          <w:szCs w:val="24"/>
        </w:rPr>
        <w:t>social science</w:t>
      </w:r>
      <w:r w:rsidR="00A05A96">
        <w:rPr>
          <w:rFonts w:cs="Times New Roman"/>
          <w:szCs w:val="24"/>
        </w:rPr>
        <w:t>s,</w:t>
      </w:r>
      <w:r w:rsidR="00A05A96" w:rsidRPr="00B33254">
        <w:rPr>
          <w:rFonts w:cs="Times New Roman"/>
          <w:szCs w:val="24"/>
        </w:rPr>
        <w:t xml:space="preserve"> tourism, medical science,</w:t>
      </w:r>
      <w:r w:rsidR="00A05A96">
        <w:rPr>
          <w:rFonts w:cs="Times New Roman"/>
          <w:szCs w:val="24"/>
        </w:rPr>
        <w:t xml:space="preserve"> agriculture, and</w:t>
      </w:r>
      <w:r w:rsidR="00A05A96" w:rsidRPr="00B33254">
        <w:rPr>
          <w:rFonts w:cs="Times New Roman"/>
          <w:szCs w:val="24"/>
        </w:rPr>
        <w:t xml:space="preserve"> education</w:t>
      </w:r>
      <w:r w:rsidR="00744E87">
        <w:t xml:space="preserve">. Second, among transportation studies, large number of studies focus on transportation safety examining injury severity. </w:t>
      </w:r>
      <w:r w:rsidR="00F24D4C">
        <w:t>I</w:t>
      </w:r>
      <w:r w:rsidR="00744E87">
        <w:t xml:space="preserve">n fact, the reader would note that majority of seminal work on </w:t>
      </w:r>
      <w:r w:rsidR="00F24D4C">
        <w:t xml:space="preserve">mixed generalized ordered response frameworks arose from injury severity modeling. Other fields of transportation where </w:t>
      </w:r>
      <w:r w:rsidR="001058EC">
        <w:t xml:space="preserve">ordered response models are employed include </w:t>
      </w:r>
      <w:r w:rsidR="001058EC">
        <w:rPr>
          <w:rFonts w:cs="Times New Roman"/>
          <w:szCs w:val="24"/>
        </w:rPr>
        <w:t xml:space="preserve">public transport usage, ride-hailing demand, and airline demand. Third, </w:t>
      </w:r>
      <w:r w:rsidR="00A05A96">
        <w:rPr>
          <w:rFonts w:cs="Times New Roman"/>
          <w:szCs w:val="24"/>
        </w:rPr>
        <w:t>among the</w:t>
      </w:r>
      <w:r w:rsidR="001058EC">
        <w:rPr>
          <w:rFonts w:cs="Times New Roman"/>
          <w:szCs w:val="24"/>
        </w:rPr>
        <w:t xml:space="preserve"> different fields </w:t>
      </w:r>
      <w:r w:rsidR="00A05A96">
        <w:rPr>
          <w:rFonts w:cs="Times New Roman"/>
          <w:szCs w:val="24"/>
        </w:rPr>
        <w:t xml:space="preserve">employing ordered response </w:t>
      </w:r>
      <w:r w:rsidR="00353F26">
        <w:rPr>
          <w:rFonts w:cs="Times New Roman"/>
          <w:szCs w:val="24"/>
        </w:rPr>
        <w:t xml:space="preserve">models the variables of interest include poverty </w:t>
      </w:r>
      <w:r w:rsidR="00B05750">
        <w:rPr>
          <w:rFonts w:cs="Times New Roman"/>
          <w:szCs w:val="24"/>
        </w:rPr>
        <w:t>levels</w:t>
      </w:r>
      <w:r w:rsidR="00353F26">
        <w:rPr>
          <w:rFonts w:cs="Times New Roman"/>
          <w:szCs w:val="24"/>
        </w:rPr>
        <w:t>,</w:t>
      </w:r>
      <w:r w:rsidR="00B05750">
        <w:rPr>
          <w:rFonts w:cs="Times New Roman"/>
          <w:szCs w:val="24"/>
        </w:rPr>
        <w:t xml:space="preserve"> nurse expertise levels, bladder tumor stages and student grades. Fourth</w:t>
      </w:r>
      <w:r w:rsidR="00F24D4C">
        <w:t xml:space="preserve">, several variants of ordered response frameworks are implemented in literature including ordered logit and probit, generalized ordered logit (including PPO) and probit, and mixed generalized ordered logit and probit model. </w:t>
      </w:r>
      <w:r w:rsidR="00B05750">
        <w:rPr>
          <w:rFonts w:cs="Times New Roman"/>
          <w:szCs w:val="24"/>
        </w:rPr>
        <w:t xml:space="preserve">Among alternative model structures considered, OR, GOR, PPO and MGOR formulations have been considered in 9, 1, 13, and 10 studies, respectively. While GOR formulation is commonly employed in transportation literature, studies in other domain mostly considered PPO variant. Fifth, the number of alternatives of ordered </w:t>
      </w:r>
      <w:r w:rsidR="00E916B5">
        <w:rPr>
          <w:rFonts w:cs="Times New Roman"/>
          <w:szCs w:val="24"/>
        </w:rPr>
        <w:t>variables</w:t>
      </w:r>
      <w:r w:rsidR="00B05750">
        <w:rPr>
          <w:rFonts w:cs="Times New Roman"/>
          <w:szCs w:val="24"/>
        </w:rPr>
        <w:t xml:space="preserve"> considered in the studies summarized in Table 1 range</w:t>
      </w:r>
      <w:r w:rsidR="001F239D">
        <w:rPr>
          <w:rFonts w:cs="Times New Roman"/>
          <w:szCs w:val="24"/>
        </w:rPr>
        <w:t>s</w:t>
      </w:r>
      <w:r w:rsidR="00B05750">
        <w:rPr>
          <w:rFonts w:cs="Times New Roman"/>
          <w:szCs w:val="24"/>
        </w:rPr>
        <w:t xml:space="preserve"> </w:t>
      </w:r>
      <w:r w:rsidR="00E916B5">
        <w:rPr>
          <w:rFonts w:cs="Times New Roman"/>
          <w:szCs w:val="24"/>
        </w:rPr>
        <w:t>between 2 and 14. Finally, we observe that error term is assumed to follow logistic and normal distributions across these studies. Among the studies presented in Table 1, we observe that logi</w:t>
      </w:r>
      <w:r w:rsidR="00F2010C">
        <w:rPr>
          <w:rFonts w:cs="Times New Roman"/>
          <w:szCs w:val="24"/>
        </w:rPr>
        <w:t xml:space="preserve">stic </w:t>
      </w:r>
      <w:r w:rsidR="00E916B5">
        <w:rPr>
          <w:rFonts w:cs="Times New Roman"/>
          <w:szCs w:val="24"/>
        </w:rPr>
        <w:t>(</w:t>
      </w:r>
      <w:r w:rsidR="00F2010C">
        <w:rPr>
          <w:rFonts w:cs="Times New Roman"/>
          <w:szCs w:val="24"/>
        </w:rPr>
        <w:t>normal</w:t>
      </w:r>
      <w:r w:rsidR="00E916B5">
        <w:rPr>
          <w:rFonts w:cs="Times New Roman"/>
          <w:szCs w:val="24"/>
        </w:rPr>
        <w:t>) distribution was employed in 26 (6) studies out of 32 indicating a preference for lo</w:t>
      </w:r>
      <w:r w:rsidR="00F2010C">
        <w:rPr>
          <w:rFonts w:cs="Times New Roman"/>
          <w:szCs w:val="24"/>
        </w:rPr>
        <w:t>git variants</w:t>
      </w:r>
      <w:r w:rsidR="00E916B5">
        <w:rPr>
          <w:rFonts w:cs="Times New Roman"/>
          <w:szCs w:val="24"/>
        </w:rPr>
        <w:t>.</w:t>
      </w:r>
      <w:r w:rsidR="00F2010C">
        <w:rPr>
          <w:rFonts w:cs="Times New Roman"/>
          <w:szCs w:val="24"/>
        </w:rPr>
        <w:t xml:space="preserve"> </w:t>
      </w:r>
    </w:p>
    <w:p w14:paraId="1E78B10D" w14:textId="797F7DFF" w:rsidR="007C5C92" w:rsidRDefault="00683F5A" w:rsidP="00E92707">
      <w:pPr>
        <w:jc w:val="both"/>
      </w:pPr>
      <w:r>
        <w:t xml:space="preserve">  </w:t>
      </w:r>
      <w:r w:rsidR="007C5C92">
        <w:br w:type="page"/>
      </w:r>
    </w:p>
    <w:p w14:paraId="0DFD7710" w14:textId="77777777" w:rsidR="007C5C92" w:rsidRDefault="007C5C92" w:rsidP="00F623F5">
      <w:pPr>
        <w:spacing w:before="240"/>
        <w:jc w:val="both"/>
        <w:sectPr w:rsidR="007C5C92" w:rsidSect="00367D5A">
          <w:footerReference w:type="default" r:id="rId10"/>
          <w:pgSz w:w="12240" w:h="15840"/>
          <w:pgMar w:top="1440" w:right="1440" w:bottom="1440" w:left="1440" w:header="720" w:footer="720" w:gutter="0"/>
          <w:cols w:space="720"/>
          <w:titlePg/>
          <w:docGrid w:linePitch="360"/>
        </w:sectPr>
      </w:pPr>
    </w:p>
    <w:p w14:paraId="685D21C6" w14:textId="77777777" w:rsidR="007C5C92" w:rsidRPr="007C5C92" w:rsidRDefault="007C5C92" w:rsidP="007C5C92">
      <w:pPr>
        <w:spacing w:before="240"/>
        <w:jc w:val="both"/>
        <w:rPr>
          <w:b/>
          <w:bCs/>
        </w:rPr>
      </w:pPr>
      <w:r w:rsidRPr="007C5C92">
        <w:rPr>
          <w:b/>
          <w:bCs/>
        </w:rPr>
        <w:t>TABLE 1 Summary of Literature Review</w:t>
      </w:r>
    </w:p>
    <w:tbl>
      <w:tblPr>
        <w:tblpPr w:leftFromText="180" w:rightFromText="180" w:vertAnchor="text" w:tblpY="1"/>
        <w:tblOverlap w:val="never"/>
        <w:tblW w:w="12955" w:type="dxa"/>
        <w:tblLayout w:type="fixed"/>
        <w:tblLook w:val="04A0" w:firstRow="1" w:lastRow="0" w:firstColumn="1" w:lastColumn="0" w:noHBand="0" w:noVBand="1"/>
      </w:tblPr>
      <w:tblGrid>
        <w:gridCol w:w="1525"/>
        <w:gridCol w:w="3240"/>
        <w:gridCol w:w="2970"/>
        <w:gridCol w:w="1620"/>
        <w:gridCol w:w="2250"/>
        <w:gridCol w:w="1350"/>
      </w:tblGrid>
      <w:tr w:rsidR="00D665BB" w:rsidRPr="007C5C92" w14:paraId="18469DF2" w14:textId="77777777" w:rsidTr="000E4F21">
        <w:trPr>
          <w:trHeight w:val="728"/>
          <w:tblHeader/>
        </w:trPr>
        <w:tc>
          <w:tcPr>
            <w:tcW w:w="1525" w:type="dxa"/>
            <w:tcBorders>
              <w:top w:val="single" w:sz="4" w:space="0" w:color="auto"/>
              <w:left w:val="single" w:sz="4" w:space="0" w:color="auto"/>
              <w:bottom w:val="single" w:sz="4" w:space="0" w:color="auto"/>
              <w:right w:val="single" w:sz="4" w:space="0" w:color="auto"/>
            </w:tcBorders>
            <w:noWrap/>
            <w:vAlign w:val="center"/>
            <w:hideMark/>
          </w:tcPr>
          <w:p w14:paraId="6C841522" w14:textId="77777777" w:rsidR="00D665BB" w:rsidRPr="00ED7903" w:rsidRDefault="00D665BB" w:rsidP="000E4F21">
            <w:pPr>
              <w:spacing w:after="0"/>
              <w:rPr>
                <w:rFonts w:eastAsia="Times New Roman" w:cs="Times New Roman"/>
                <w:b/>
                <w:bCs/>
                <w:color w:val="000000"/>
                <w:sz w:val="20"/>
                <w:szCs w:val="20"/>
              </w:rPr>
            </w:pPr>
            <w:r w:rsidRPr="00ED7903">
              <w:rPr>
                <w:rFonts w:eastAsia="Times New Roman" w:cs="Times New Roman"/>
                <w:b/>
                <w:bCs/>
                <w:color w:val="000000"/>
                <w:sz w:val="20"/>
                <w:szCs w:val="20"/>
              </w:rPr>
              <w:t>Study</w:t>
            </w:r>
          </w:p>
        </w:tc>
        <w:tc>
          <w:tcPr>
            <w:tcW w:w="3240" w:type="dxa"/>
            <w:tcBorders>
              <w:top w:val="single" w:sz="4" w:space="0" w:color="auto"/>
              <w:left w:val="nil"/>
              <w:bottom w:val="single" w:sz="4" w:space="0" w:color="auto"/>
              <w:right w:val="single" w:sz="4" w:space="0" w:color="auto"/>
            </w:tcBorders>
            <w:noWrap/>
            <w:vAlign w:val="center"/>
            <w:hideMark/>
          </w:tcPr>
          <w:p w14:paraId="222B9A3C" w14:textId="77777777" w:rsidR="00D665BB" w:rsidRPr="00ED7903" w:rsidRDefault="00D665BB" w:rsidP="000E4F21">
            <w:pPr>
              <w:spacing w:after="0"/>
              <w:rPr>
                <w:rFonts w:eastAsia="Times New Roman" w:cs="Times New Roman"/>
                <w:b/>
                <w:bCs/>
                <w:color w:val="000000"/>
                <w:sz w:val="20"/>
                <w:szCs w:val="20"/>
              </w:rPr>
            </w:pPr>
            <w:r w:rsidRPr="00ED7903">
              <w:rPr>
                <w:rFonts w:eastAsia="Times New Roman" w:cs="Times New Roman"/>
                <w:b/>
                <w:bCs/>
                <w:color w:val="000000"/>
                <w:sz w:val="20"/>
                <w:szCs w:val="20"/>
              </w:rPr>
              <w:t xml:space="preserve">Study </w:t>
            </w:r>
            <w:r>
              <w:rPr>
                <w:rFonts w:eastAsia="Times New Roman" w:cs="Times New Roman"/>
                <w:b/>
                <w:bCs/>
                <w:color w:val="000000"/>
                <w:sz w:val="20"/>
                <w:szCs w:val="20"/>
              </w:rPr>
              <w:t>O</w:t>
            </w:r>
            <w:r w:rsidRPr="00ED7903">
              <w:rPr>
                <w:rFonts w:eastAsia="Times New Roman" w:cs="Times New Roman"/>
                <w:b/>
                <w:bCs/>
                <w:color w:val="000000"/>
                <w:sz w:val="20"/>
                <w:szCs w:val="20"/>
              </w:rPr>
              <w:t>bjective</w:t>
            </w:r>
          </w:p>
        </w:tc>
        <w:tc>
          <w:tcPr>
            <w:tcW w:w="2970" w:type="dxa"/>
            <w:tcBorders>
              <w:top w:val="single" w:sz="4" w:space="0" w:color="auto"/>
              <w:left w:val="nil"/>
              <w:bottom w:val="single" w:sz="4" w:space="0" w:color="auto"/>
              <w:right w:val="single" w:sz="4" w:space="0" w:color="auto"/>
            </w:tcBorders>
            <w:noWrap/>
            <w:vAlign w:val="center"/>
            <w:hideMark/>
          </w:tcPr>
          <w:p w14:paraId="7DC8C463" w14:textId="77777777" w:rsidR="00D665BB" w:rsidRPr="00ED7903" w:rsidRDefault="00D665BB" w:rsidP="000E4F21">
            <w:pPr>
              <w:spacing w:after="0"/>
              <w:rPr>
                <w:rFonts w:eastAsia="Times New Roman" w:cs="Times New Roman"/>
                <w:b/>
                <w:bCs/>
                <w:color w:val="000000"/>
                <w:sz w:val="20"/>
                <w:szCs w:val="20"/>
              </w:rPr>
            </w:pPr>
            <w:r w:rsidRPr="00ED7903">
              <w:rPr>
                <w:rFonts w:eastAsia="Times New Roman" w:cs="Times New Roman"/>
                <w:b/>
                <w:bCs/>
                <w:color w:val="000000"/>
                <w:sz w:val="20"/>
                <w:szCs w:val="20"/>
              </w:rPr>
              <w:t xml:space="preserve">Data </w:t>
            </w:r>
            <w:r>
              <w:rPr>
                <w:rFonts w:eastAsia="Times New Roman" w:cs="Times New Roman"/>
                <w:b/>
                <w:bCs/>
                <w:color w:val="000000"/>
                <w:sz w:val="20"/>
                <w:szCs w:val="20"/>
              </w:rPr>
              <w:t xml:space="preserve">Source </w:t>
            </w:r>
            <w:r w:rsidRPr="00ED7903">
              <w:rPr>
                <w:rFonts w:eastAsia="Times New Roman" w:cs="Times New Roman"/>
                <w:b/>
                <w:bCs/>
                <w:color w:val="000000"/>
                <w:sz w:val="20"/>
                <w:szCs w:val="20"/>
              </w:rPr>
              <w:t>(</w:t>
            </w:r>
            <w:r>
              <w:rPr>
                <w:rFonts w:eastAsia="Times New Roman" w:cs="Times New Roman"/>
                <w:b/>
                <w:bCs/>
                <w:color w:val="000000"/>
                <w:sz w:val="20"/>
                <w:szCs w:val="20"/>
              </w:rPr>
              <w:t>R</w:t>
            </w:r>
            <w:r w:rsidRPr="00ED7903">
              <w:rPr>
                <w:rFonts w:eastAsia="Times New Roman" w:cs="Times New Roman"/>
                <w:b/>
                <w:bCs/>
                <w:color w:val="000000"/>
                <w:sz w:val="20"/>
                <w:szCs w:val="20"/>
              </w:rPr>
              <w:t xml:space="preserve">egion; </w:t>
            </w:r>
            <w:r>
              <w:rPr>
                <w:rFonts w:eastAsia="Times New Roman" w:cs="Times New Roman"/>
                <w:b/>
                <w:bCs/>
                <w:color w:val="000000"/>
                <w:sz w:val="20"/>
                <w:szCs w:val="20"/>
              </w:rPr>
              <w:t>Y</w:t>
            </w:r>
            <w:r w:rsidRPr="00ED7903">
              <w:rPr>
                <w:rFonts w:eastAsia="Times New Roman" w:cs="Times New Roman"/>
                <w:b/>
                <w:bCs/>
                <w:color w:val="000000"/>
                <w:sz w:val="20"/>
                <w:szCs w:val="20"/>
              </w:rPr>
              <w:t>ear)</w:t>
            </w:r>
          </w:p>
        </w:tc>
        <w:tc>
          <w:tcPr>
            <w:tcW w:w="1620" w:type="dxa"/>
            <w:tcBorders>
              <w:top w:val="single" w:sz="4" w:space="0" w:color="auto"/>
              <w:left w:val="nil"/>
              <w:bottom w:val="single" w:sz="4" w:space="0" w:color="auto"/>
              <w:right w:val="single" w:sz="4" w:space="0" w:color="auto"/>
            </w:tcBorders>
            <w:noWrap/>
            <w:vAlign w:val="center"/>
            <w:hideMark/>
          </w:tcPr>
          <w:p w14:paraId="1A230CF1" w14:textId="77777777" w:rsidR="00D665BB" w:rsidRPr="00ED7903" w:rsidRDefault="00D665BB" w:rsidP="000E4F21">
            <w:pPr>
              <w:spacing w:after="0"/>
              <w:rPr>
                <w:rFonts w:eastAsia="Times New Roman" w:cs="Times New Roman"/>
                <w:b/>
                <w:bCs/>
                <w:color w:val="000000"/>
                <w:sz w:val="20"/>
                <w:szCs w:val="20"/>
              </w:rPr>
            </w:pPr>
            <w:r w:rsidRPr="00ED7903">
              <w:rPr>
                <w:rFonts w:eastAsia="Times New Roman" w:cs="Times New Roman"/>
                <w:b/>
                <w:bCs/>
                <w:color w:val="000000"/>
                <w:sz w:val="20"/>
                <w:szCs w:val="20"/>
              </w:rPr>
              <w:t xml:space="preserve">Dependent variable (No of </w:t>
            </w:r>
            <w:r>
              <w:rPr>
                <w:rFonts w:eastAsia="Times New Roman" w:cs="Times New Roman"/>
                <w:b/>
                <w:bCs/>
                <w:color w:val="000000"/>
                <w:sz w:val="20"/>
                <w:szCs w:val="20"/>
              </w:rPr>
              <w:t>A</w:t>
            </w:r>
            <w:r w:rsidRPr="00ED7903">
              <w:rPr>
                <w:rFonts w:eastAsia="Times New Roman" w:cs="Times New Roman"/>
                <w:b/>
                <w:bCs/>
                <w:color w:val="000000"/>
                <w:sz w:val="20"/>
                <w:szCs w:val="20"/>
              </w:rPr>
              <w:t>lternatives)</w:t>
            </w:r>
          </w:p>
        </w:tc>
        <w:tc>
          <w:tcPr>
            <w:tcW w:w="2250" w:type="dxa"/>
            <w:tcBorders>
              <w:top w:val="single" w:sz="4" w:space="0" w:color="auto"/>
              <w:left w:val="nil"/>
              <w:bottom w:val="single" w:sz="4" w:space="0" w:color="auto"/>
              <w:right w:val="single" w:sz="4" w:space="0" w:color="auto"/>
            </w:tcBorders>
            <w:vAlign w:val="center"/>
          </w:tcPr>
          <w:p w14:paraId="4DB44082" w14:textId="77777777" w:rsidR="00D665BB" w:rsidRPr="00ED7903" w:rsidRDefault="00D665BB" w:rsidP="000E4F21">
            <w:pPr>
              <w:spacing w:after="0"/>
              <w:rPr>
                <w:rFonts w:eastAsia="Times New Roman" w:cs="Times New Roman"/>
                <w:b/>
                <w:bCs/>
                <w:color w:val="000000"/>
                <w:sz w:val="20"/>
                <w:szCs w:val="20"/>
              </w:rPr>
            </w:pPr>
            <w:r>
              <w:rPr>
                <w:rFonts w:eastAsia="Times New Roman" w:cs="Times New Roman"/>
                <w:b/>
                <w:bCs/>
                <w:color w:val="000000"/>
                <w:sz w:val="20"/>
                <w:szCs w:val="20"/>
              </w:rPr>
              <w:t>Alternatives</w:t>
            </w:r>
          </w:p>
        </w:tc>
        <w:tc>
          <w:tcPr>
            <w:tcW w:w="1350" w:type="dxa"/>
            <w:tcBorders>
              <w:top w:val="single" w:sz="4" w:space="0" w:color="auto"/>
              <w:left w:val="nil"/>
              <w:bottom w:val="single" w:sz="4" w:space="0" w:color="auto"/>
              <w:right w:val="single" w:sz="4" w:space="0" w:color="auto"/>
            </w:tcBorders>
            <w:vAlign w:val="center"/>
          </w:tcPr>
          <w:p w14:paraId="171B9598" w14:textId="77777777" w:rsidR="00D665BB" w:rsidRPr="00ED7903" w:rsidRDefault="00D665BB" w:rsidP="000E4F21">
            <w:pPr>
              <w:spacing w:after="0"/>
              <w:rPr>
                <w:rFonts w:eastAsia="Times New Roman" w:cs="Times New Roman"/>
                <w:b/>
                <w:bCs/>
                <w:color w:val="000000"/>
                <w:sz w:val="20"/>
                <w:szCs w:val="20"/>
              </w:rPr>
            </w:pPr>
            <w:r w:rsidRPr="00ED7903">
              <w:rPr>
                <w:rFonts w:eastAsia="Times New Roman" w:cs="Times New Roman"/>
                <w:b/>
                <w:bCs/>
                <w:color w:val="000000"/>
                <w:sz w:val="20"/>
                <w:szCs w:val="20"/>
              </w:rPr>
              <w:t xml:space="preserve">Model </w:t>
            </w:r>
            <w:r w:rsidRPr="007C5C92">
              <w:rPr>
                <w:rFonts w:eastAsia="Times New Roman" w:cs="Times New Roman"/>
                <w:b/>
                <w:bCs/>
                <w:color w:val="000000"/>
                <w:sz w:val="20"/>
                <w:szCs w:val="20"/>
              </w:rPr>
              <w:t>(</w:t>
            </w:r>
            <w:r>
              <w:rPr>
                <w:rFonts w:eastAsia="Times New Roman" w:cs="Times New Roman"/>
                <w:b/>
                <w:bCs/>
                <w:color w:val="000000"/>
                <w:sz w:val="20"/>
                <w:szCs w:val="20"/>
              </w:rPr>
              <w:t>l</w:t>
            </w:r>
            <w:r w:rsidRPr="007C5C92">
              <w:rPr>
                <w:rFonts w:eastAsia="Times New Roman" w:cs="Times New Roman"/>
                <w:b/>
                <w:bCs/>
                <w:color w:val="000000"/>
                <w:sz w:val="20"/>
                <w:szCs w:val="20"/>
              </w:rPr>
              <w:t>ogit/probit)</w:t>
            </w:r>
          </w:p>
        </w:tc>
      </w:tr>
      <w:tr w:rsidR="00D665BB" w:rsidRPr="007C5C92" w14:paraId="16459E5B" w14:textId="77777777" w:rsidTr="000E4F21">
        <w:trPr>
          <w:trHeight w:val="290"/>
        </w:trPr>
        <w:tc>
          <w:tcPr>
            <w:tcW w:w="12955" w:type="dxa"/>
            <w:gridSpan w:val="6"/>
            <w:tcBorders>
              <w:top w:val="nil"/>
              <w:left w:val="single" w:sz="4" w:space="0" w:color="auto"/>
              <w:bottom w:val="single" w:sz="4" w:space="0" w:color="auto"/>
              <w:right w:val="single" w:sz="4" w:space="0" w:color="auto"/>
            </w:tcBorders>
          </w:tcPr>
          <w:p w14:paraId="68260974" w14:textId="77777777" w:rsidR="00D665BB" w:rsidRPr="000226D2" w:rsidRDefault="00D665BB" w:rsidP="000E4F21">
            <w:pPr>
              <w:spacing w:after="0"/>
              <w:rPr>
                <w:rFonts w:eastAsia="Times New Roman" w:cs="Times New Roman"/>
                <w:b/>
                <w:bCs/>
                <w:i/>
                <w:iCs/>
                <w:color w:val="000000"/>
                <w:sz w:val="20"/>
                <w:szCs w:val="20"/>
              </w:rPr>
            </w:pPr>
            <w:r w:rsidRPr="000226D2">
              <w:rPr>
                <w:rFonts w:eastAsia="Times New Roman" w:cs="Times New Roman"/>
                <w:b/>
                <w:bCs/>
                <w:i/>
                <w:iCs/>
                <w:color w:val="000000"/>
                <w:sz w:val="20"/>
                <w:szCs w:val="20"/>
              </w:rPr>
              <w:t>Transportation Studies</w:t>
            </w:r>
          </w:p>
        </w:tc>
      </w:tr>
      <w:tr w:rsidR="00D665BB" w:rsidRPr="007C5C92" w14:paraId="40F200DA"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07D8BC2A" w14:textId="77777777" w:rsidR="00D665BB" w:rsidRPr="00ED7903" w:rsidRDefault="00D665BB" w:rsidP="000E4F21">
            <w:pPr>
              <w:spacing w:after="0"/>
              <w:rPr>
                <w:rFonts w:eastAsia="Times New Roman" w:cs="Times New Roman"/>
                <w:color w:val="000000"/>
                <w:sz w:val="20"/>
                <w:szCs w:val="20"/>
              </w:rPr>
            </w:pPr>
            <w:r w:rsidRPr="007C5C92">
              <w:rPr>
                <w:rFonts w:cs="Times New Roman"/>
                <w:noProof/>
                <w:sz w:val="20"/>
                <w:szCs w:val="20"/>
              </w:rPr>
              <w:fldChar w:fldCharType="begin" w:fldLock="1"/>
            </w:r>
            <w:r w:rsidRPr="007C5C92">
              <w:rPr>
                <w:rFonts w:cs="Times New Roman"/>
                <w:noProof/>
                <w:sz w:val="20"/>
                <w:szCs w:val="20"/>
              </w:rPr>
              <w:instrText>ADDIN CSL_CITATION {"citationItems":[{"id":"ITEM-1","itemData":{"DOI":"10.1016/j.aap.2007.11.010","ISSN":"00014575","PMID":"18460372","abstract":"This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 2007 Elsevier Ltd. All rights reserved.","author":[{"dropping-particle":"","family":"Eluru","given":"Naveen","non-dropping-particle":"","parse-names":false,"suffix":""},{"dropping-particle":"","family":"Bhat","given":"Chandra R.","non-dropping-particle":"","parse-names":false,"suffix":""},{"dropping-particle":"","family":"Hensher","given":"David A.","non-dropping-particle":"","parse-names":false,"suffix":""}],"container-title":"Accident Analysis and Prevention","id":"ITEM-1","issue":"3","issued":{"date-parts":[["2008"]]},"page":"1033-1054","title":"A mixed generalized ordered response model for examining pedestrian and bicyclist injury severity level in traffic crashes","type":"article-journal","volume":"40"},"uris":["http://www.mendeley.com/documents/?uuid=e439ac6e-2369-4ff4-b2b4-488712b997fa"]}],"mendeley":{"formattedCitation":"(Eluru et al. 2008)","manualFormatting":"Eluru et al. 2008","plainTextFormattedCitation":"(Eluru et al. 2008)","previouslyFormattedCitation":"(Eluru et al. 2008)"},"properties":{"noteIndex":0},"schema":"https://github.com/citation-style-language/schema/raw/master/csl-citation.json"}</w:instrText>
            </w:r>
            <w:r w:rsidRPr="007C5C92">
              <w:rPr>
                <w:rFonts w:cs="Times New Roman"/>
                <w:noProof/>
                <w:sz w:val="20"/>
                <w:szCs w:val="20"/>
              </w:rPr>
              <w:fldChar w:fldCharType="separate"/>
            </w:r>
            <w:r w:rsidRPr="007C5C92">
              <w:rPr>
                <w:rFonts w:cs="Times New Roman"/>
                <w:noProof/>
                <w:sz w:val="20"/>
                <w:szCs w:val="20"/>
              </w:rPr>
              <w:t>Eluru et al. 2008</w:t>
            </w:r>
            <w:r w:rsidRPr="007C5C92">
              <w:rPr>
                <w:rFonts w:cs="Times New Roman"/>
                <w:noProof/>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20B74617" w14:textId="14042A9F"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w:t>
            </w:r>
            <w:r w:rsidR="00FE2FBA">
              <w:rPr>
                <w:rFonts w:eastAsia="Times New Roman" w:cs="Times New Roman"/>
                <w:color w:val="000000"/>
                <w:sz w:val="20"/>
                <w:szCs w:val="20"/>
              </w:rPr>
              <w:t xml:space="preserve">study </w:t>
            </w:r>
            <w:r w:rsidR="00466EDA">
              <w:rPr>
                <w:rFonts w:eastAsia="Times New Roman" w:cs="Times New Roman"/>
                <w:color w:val="000000"/>
                <w:sz w:val="20"/>
                <w:szCs w:val="20"/>
              </w:rPr>
              <w:t>injury</w:t>
            </w:r>
            <w:r w:rsidR="00FE2FBA" w:rsidRPr="00ED7903">
              <w:rPr>
                <w:rFonts w:eastAsia="Times New Roman" w:cs="Times New Roman"/>
                <w:color w:val="000000"/>
                <w:sz w:val="20"/>
                <w:szCs w:val="20"/>
              </w:rPr>
              <w:t xml:space="preserve"> </w:t>
            </w:r>
            <w:r w:rsidR="00FE2FBA">
              <w:rPr>
                <w:rFonts w:eastAsia="Times New Roman" w:cs="Times New Roman"/>
                <w:color w:val="000000"/>
                <w:sz w:val="20"/>
                <w:szCs w:val="20"/>
              </w:rPr>
              <w:t xml:space="preserve">severity of </w:t>
            </w:r>
            <w:r w:rsidRPr="00ED7903">
              <w:rPr>
                <w:rFonts w:eastAsia="Times New Roman" w:cs="Times New Roman"/>
                <w:color w:val="000000"/>
                <w:sz w:val="20"/>
                <w:szCs w:val="20"/>
              </w:rPr>
              <w:t>non-motorist</w:t>
            </w:r>
            <w:r w:rsidR="00FE2FBA">
              <w:rPr>
                <w:rFonts w:eastAsia="Times New Roman" w:cs="Times New Roman"/>
                <w:color w:val="000000"/>
                <w:sz w:val="20"/>
                <w:szCs w:val="20"/>
              </w:rPr>
              <w:t>s</w:t>
            </w:r>
            <w:r w:rsidRPr="00ED7903">
              <w:rPr>
                <w:rFonts w:eastAsia="Times New Roman" w:cs="Times New Roman"/>
                <w:color w:val="000000"/>
                <w:sz w:val="20"/>
                <w:szCs w:val="20"/>
              </w:rPr>
              <w:t xml:space="preserve"> </w:t>
            </w:r>
          </w:p>
        </w:tc>
        <w:tc>
          <w:tcPr>
            <w:tcW w:w="2970" w:type="dxa"/>
            <w:tcBorders>
              <w:top w:val="nil"/>
              <w:left w:val="nil"/>
              <w:bottom w:val="single" w:sz="4" w:space="0" w:color="auto"/>
              <w:right w:val="single" w:sz="4" w:space="0" w:color="auto"/>
            </w:tcBorders>
            <w:noWrap/>
            <w:vAlign w:val="center"/>
            <w:hideMark/>
          </w:tcPr>
          <w:p w14:paraId="3208A7FD"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General Estimates System </w:t>
            </w:r>
            <w:r>
              <w:rPr>
                <w:rFonts w:eastAsia="Times New Roman" w:cs="Times New Roman"/>
                <w:color w:val="000000"/>
                <w:sz w:val="20"/>
                <w:szCs w:val="20"/>
              </w:rPr>
              <w:t xml:space="preserve">(GES) </w:t>
            </w:r>
            <w:r w:rsidRPr="00ED7903">
              <w:rPr>
                <w:rFonts w:eastAsia="Times New Roman" w:cs="Times New Roman"/>
                <w:color w:val="000000"/>
                <w:sz w:val="20"/>
                <w:szCs w:val="20"/>
              </w:rPr>
              <w:t>database (US; 2004)</w:t>
            </w:r>
          </w:p>
        </w:tc>
        <w:tc>
          <w:tcPr>
            <w:tcW w:w="1620" w:type="dxa"/>
            <w:tcBorders>
              <w:top w:val="nil"/>
              <w:left w:val="nil"/>
              <w:bottom w:val="single" w:sz="4" w:space="0" w:color="auto"/>
              <w:right w:val="single" w:sz="4" w:space="0" w:color="auto"/>
            </w:tcBorders>
            <w:noWrap/>
            <w:vAlign w:val="center"/>
            <w:hideMark/>
          </w:tcPr>
          <w:p w14:paraId="11216144"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(4)</w:t>
            </w:r>
          </w:p>
        </w:tc>
        <w:tc>
          <w:tcPr>
            <w:tcW w:w="2250" w:type="dxa"/>
            <w:tcBorders>
              <w:top w:val="nil"/>
              <w:left w:val="nil"/>
              <w:bottom w:val="single" w:sz="4" w:space="0" w:color="auto"/>
              <w:right w:val="single" w:sz="4" w:space="0" w:color="auto"/>
            </w:tcBorders>
            <w:vAlign w:val="center"/>
          </w:tcPr>
          <w:p w14:paraId="489D24B3" w14:textId="4958412A" w:rsidR="00D665BB" w:rsidRPr="00475F17" w:rsidRDefault="00D665BB" w:rsidP="00B40864">
            <w:pPr>
              <w:spacing w:after="0"/>
              <w:rPr>
                <w:rFonts w:eastAsia="Times New Roman" w:cs="Times New Roman"/>
                <w:color w:val="000000"/>
                <w:sz w:val="20"/>
                <w:szCs w:val="20"/>
              </w:rPr>
            </w:pPr>
            <w:r w:rsidRPr="00475F17">
              <w:rPr>
                <w:sz w:val="20"/>
                <w:szCs w:val="20"/>
              </w:rPr>
              <w:t xml:space="preserve">No injury, non-incapacitating, incapacitating and </w:t>
            </w:r>
            <w:r w:rsidR="009B4E85">
              <w:rPr>
                <w:sz w:val="20"/>
                <w:szCs w:val="20"/>
              </w:rPr>
              <w:t>f</w:t>
            </w:r>
            <w:r w:rsidRPr="00475F17">
              <w:rPr>
                <w:sz w:val="20"/>
                <w:szCs w:val="20"/>
              </w:rPr>
              <w:t>atal injury</w:t>
            </w:r>
          </w:p>
        </w:tc>
        <w:tc>
          <w:tcPr>
            <w:tcW w:w="1350" w:type="dxa"/>
            <w:tcBorders>
              <w:top w:val="nil"/>
              <w:left w:val="single" w:sz="4" w:space="0" w:color="auto"/>
              <w:bottom w:val="single" w:sz="4" w:space="0" w:color="auto"/>
              <w:right w:val="single" w:sz="4" w:space="0" w:color="auto"/>
            </w:tcBorders>
            <w:noWrap/>
            <w:vAlign w:val="center"/>
            <w:hideMark/>
          </w:tcPr>
          <w:p w14:paraId="4F95CD4E"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MGOR</w:t>
            </w:r>
            <w:r w:rsidRPr="007C5C92">
              <w:rPr>
                <w:rFonts w:eastAsia="Times New Roman" w:cs="Times New Roman"/>
                <w:color w:val="000000"/>
                <w:sz w:val="20"/>
                <w:szCs w:val="20"/>
              </w:rPr>
              <w:t xml:space="preserve"> (logit)</w:t>
            </w:r>
          </w:p>
        </w:tc>
      </w:tr>
      <w:tr w:rsidR="00D665BB" w:rsidRPr="007C5C92" w14:paraId="131CEE70"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1F178B08" w14:textId="77777777" w:rsidR="00D665BB" w:rsidRPr="00ED7903" w:rsidRDefault="00D665BB" w:rsidP="000E4F21">
            <w:pPr>
              <w:spacing w:after="0"/>
              <w:rPr>
                <w:rFonts w:eastAsia="Times New Roman" w:cs="Times New Roman"/>
                <w:color w:val="000000"/>
                <w:sz w:val="20"/>
                <w:szCs w:val="20"/>
              </w:rPr>
            </w:pPr>
            <w:r w:rsidRPr="007C5C92">
              <w:rPr>
                <w:rFonts w:cs="Times New Roman"/>
                <w:noProof/>
                <w:sz w:val="20"/>
                <w:szCs w:val="20"/>
              </w:rPr>
              <w:fldChar w:fldCharType="begin" w:fldLock="1"/>
            </w:r>
            <w:r w:rsidRPr="007C5C92">
              <w:rPr>
                <w:rFonts w:cs="Times New Roman"/>
                <w:noProof/>
                <w:sz w:val="20"/>
                <w:szCs w:val="20"/>
              </w:rPr>
              <w:instrText>ADDIN CSL_CITATION {"citationItems":[{"id":"ITEM-1","itemData":{"DOI":"10.1016/j.amar.2013.10.002","ISSN":"22136657","abstract":"This paper formulates and estimates an econometric model, referred to as the latent segmentation based generalized ordered logit (LSGOL) model, for examining driver injury severity. The proposed model probabilistically allocates drivers (involved in a crash) into different injury severity segments based on crash characteristics to recognize that the impacts of exogenous variables on driver injury severity level can vary across drivers based on both observed and unobserved crash characteristics. The proposed model is estimated using Victorian Crash Database from Australia for the years 2006 through 2010. The model estimation incorporates the influence of a comprehensive set of exogenous variables grouped into six broad categories: crash characteristics, driver characteristics, vehicle characteristics, roadway design attributes, environmental factors and situational factors. The results clearly highlight the need for segmentation based on crash characteristics. The crash characteristics that affect the allocation of drivers into segments include: collision object, trajectory of vehicle's motion and manner of collision. Further, the key factors resulting in severe driver injury severity are driver age 65 and above, driver ejection, not wearing seat belts and collision in a high speed zone. The factors reducing driver injury severity include the presence of pedestrian control, presence of roundabout, driving a panel van, unpaved road condition and the presence of passengers. © 2013 Elsevier Ltd.","author":[{"dropping-particle":"","family":"Yasmin","given":"Shamsunnahar","non-dropping-particle":"","parse-names":false,"suffix":""},{"dropping-particle":"","family":"Eluru","given":"Naveen","non-dropping-particle":"","parse-names":false,"suffix":""},{"dropping-particle":"","family":"Bhat","given":"Chandra R.","non-dropping-particle":"","parse-names":false,"suffix":""},{"dropping-particle":"","family":"Tay","given":"Richard","non-dropping-particle":"","parse-names":false,"suffix":""}],"container-title":"Analytic Methods in Accident Research","id":"ITEM-1","issued":{"date-parts":[["2014"]]},"page":"23-38","publisher":"Elsevier","title":"A latent segmentation based generalized ordered logit model to examine factors influencing driver injury severity","type":"article-journal","volume":"1"},"uris":["http://www.mendeley.com/documents/?uuid=0f7c4379-d439-445c-b553-2d026b383134"]}],"mendeley":{"formattedCitation":"(Yasmin et al. 2014)","manualFormatting":"Yasmin et al. 2014","plainTextFormattedCitation":"(Yasmin et al. 2014)","previouslyFormattedCitation":"(Yasmin et al. 2014)"},"properties":{"noteIndex":0},"schema":"https://github.com/citation-style-language/schema/raw/master/csl-citation.json"}</w:instrText>
            </w:r>
            <w:r w:rsidRPr="007C5C92">
              <w:rPr>
                <w:rFonts w:cs="Times New Roman"/>
                <w:noProof/>
                <w:sz w:val="20"/>
                <w:szCs w:val="20"/>
              </w:rPr>
              <w:fldChar w:fldCharType="separate"/>
            </w:r>
            <w:r w:rsidRPr="007C5C92">
              <w:rPr>
                <w:rFonts w:cs="Times New Roman"/>
                <w:noProof/>
                <w:sz w:val="20"/>
                <w:szCs w:val="20"/>
              </w:rPr>
              <w:t>Yasmin et al. 2014</w:t>
            </w:r>
            <w:r w:rsidRPr="007C5C92">
              <w:rPr>
                <w:rFonts w:cs="Times New Roman"/>
                <w:noProof/>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653D7198"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To estimate an econometric model of driver injury severity</w:t>
            </w:r>
          </w:p>
        </w:tc>
        <w:tc>
          <w:tcPr>
            <w:tcW w:w="2970" w:type="dxa"/>
            <w:tcBorders>
              <w:top w:val="nil"/>
              <w:left w:val="nil"/>
              <w:bottom w:val="single" w:sz="4" w:space="0" w:color="auto"/>
              <w:right w:val="single" w:sz="4" w:space="0" w:color="auto"/>
            </w:tcBorders>
            <w:noWrap/>
            <w:vAlign w:val="center"/>
            <w:hideMark/>
          </w:tcPr>
          <w:p w14:paraId="013BBD33" w14:textId="300DE7D5"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Victorian Crash Database (Australia</w:t>
            </w:r>
            <w:r w:rsidR="00394972">
              <w:rPr>
                <w:rFonts w:eastAsia="Times New Roman" w:cs="Times New Roman"/>
                <w:color w:val="000000"/>
                <w:sz w:val="20"/>
                <w:szCs w:val="20"/>
              </w:rPr>
              <w:t>; 2006-2010</w:t>
            </w:r>
            <w:r w:rsidRPr="00ED7903">
              <w:rPr>
                <w:rFonts w:eastAsia="Times New Roman" w:cs="Times New Roman"/>
                <w:color w:val="000000"/>
                <w:sz w:val="20"/>
                <w:szCs w:val="20"/>
              </w:rPr>
              <w:t>)</w:t>
            </w:r>
          </w:p>
        </w:tc>
        <w:tc>
          <w:tcPr>
            <w:tcW w:w="1620" w:type="dxa"/>
            <w:tcBorders>
              <w:top w:val="nil"/>
              <w:left w:val="nil"/>
              <w:bottom w:val="single" w:sz="4" w:space="0" w:color="auto"/>
              <w:right w:val="single" w:sz="4" w:space="0" w:color="auto"/>
            </w:tcBorders>
            <w:noWrap/>
            <w:vAlign w:val="center"/>
            <w:hideMark/>
          </w:tcPr>
          <w:p w14:paraId="6BD5ECFF"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(4)</w:t>
            </w:r>
          </w:p>
        </w:tc>
        <w:tc>
          <w:tcPr>
            <w:tcW w:w="2250" w:type="dxa"/>
            <w:tcBorders>
              <w:top w:val="single" w:sz="4" w:space="0" w:color="auto"/>
              <w:left w:val="nil"/>
              <w:bottom w:val="single" w:sz="4" w:space="0" w:color="auto"/>
              <w:right w:val="single" w:sz="4" w:space="0" w:color="auto"/>
            </w:tcBorders>
            <w:vAlign w:val="center"/>
          </w:tcPr>
          <w:p w14:paraId="08F1D792" w14:textId="77777777" w:rsidR="00D665BB" w:rsidRPr="00475F17" w:rsidRDefault="00D665BB" w:rsidP="00B40864">
            <w:pPr>
              <w:spacing w:after="0"/>
              <w:rPr>
                <w:rFonts w:eastAsia="Times New Roman" w:cs="Times New Roman"/>
                <w:color w:val="000000"/>
                <w:sz w:val="20"/>
                <w:szCs w:val="20"/>
              </w:rPr>
            </w:pPr>
            <w:r w:rsidRPr="00475F17">
              <w:rPr>
                <w:sz w:val="20"/>
                <w:szCs w:val="20"/>
              </w:rPr>
              <w:t>No injury, minor, serious and fatal injury</w:t>
            </w:r>
          </w:p>
        </w:tc>
        <w:tc>
          <w:tcPr>
            <w:tcW w:w="1350" w:type="dxa"/>
            <w:tcBorders>
              <w:top w:val="nil"/>
              <w:left w:val="single" w:sz="4" w:space="0" w:color="auto"/>
              <w:bottom w:val="single" w:sz="4" w:space="0" w:color="auto"/>
              <w:right w:val="single" w:sz="4" w:space="0" w:color="auto"/>
            </w:tcBorders>
            <w:noWrap/>
            <w:vAlign w:val="center"/>
            <w:hideMark/>
          </w:tcPr>
          <w:p w14:paraId="40E7AE77"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GOR</w:t>
            </w:r>
            <w:r w:rsidRPr="007C5C92">
              <w:rPr>
                <w:rFonts w:eastAsia="Times New Roman" w:cs="Times New Roman"/>
                <w:color w:val="000000"/>
                <w:sz w:val="20"/>
                <w:szCs w:val="20"/>
              </w:rPr>
              <w:t xml:space="preserve"> (logit)</w:t>
            </w:r>
          </w:p>
        </w:tc>
      </w:tr>
      <w:tr w:rsidR="00D665BB" w:rsidRPr="007C5C92" w14:paraId="67A9D524"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57F4050B"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noProof/>
                <w:color w:val="000000"/>
                <w:sz w:val="20"/>
                <w:szCs w:val="20"/>
              </w:rPr>
              <w:fldChar w:fldCharType="begin" w:fldLock="1"/>
            </w:r>
            <w:r w:rsidRPr="007C5C92">
              <w:rPr>
                <w:rFonts w:eastAsia="Times New Roman" w:cs="Times New Roman"/>
                <w:noProof/>
                <w:color w:val="000000"/>
                <w:sz w:val="20"/>
                <w:szCs w:val="20"/>
              </w:rPr>
              <w:instrText>ADDIN CSL_CITATION {"citationItems":[{"id":"ITEM-1","itemData":{"DOI":"10.1016/j.jsr.2012.05.003","ISSN":"00224375","PMID":"22974682","abstract":"Introduction: Recent years have witnessed a growing interest in improving bus safety operations worldwide. While in the United States buses are considered relatively safe, the number of bus accidents is far from being negligible, triggering the introduction of the Motor-coach Enhanced Safety Act of 2011. Method: The current study investigates the underlying risk factors of bus accident severity in the United States by estimating a generalized ordered logit model. Data for the analysis are retrieved from the General Estimates System (GES) database for the years 2005-2009. Results: Results show that accident severity increases: (i) for young bus drivers under the age of 25; (ii) for drivers beyond the age of 55, and most prominently for drivers over 65 years old; (iii) for female drivers; (iv) for very high (over 65 mph) and very low (under 20 mph) speed limits; (v) at intersections; (vi) because of inattentive and risky driving. © 2012 National Safety Council and Elsevier Ltd.","author":[{"dropping-particle":"","family":"Kaplan","given":"Sigal","non-dropping-particle":"","parse-names":false,"suffix":""},{"dropping-particle":"","family":"Prato","given":"Carlo Giacomo","non-dropping-particle":"","parse-names":false,"suffix":""}],"container-title":"Journal of Safety Research","id":"ITEM-1","issue":"3","issued":{"date-parts":[["2012"]]},"page":"171-180","publisher":"National Safety Council and Elsevier Ltd","title":"Risk factors associated with bus accident severity in the United States: A generalized ordered logit model","type":"article-journal","volume":"43"},"uris":["http://www.mendeley.com/documents/?uuid=3701395d-151d-4cec-b26b-bc5fd84983b1"]}],"mendeley":{"formattedCitation":"(Kaplan and Prato 2012)","manualFormatting":"Kaplan and Prato 2012","plainTextFormattedCitation":"(Kaplan and Prato 2012)","previouslyFormattedCitation":"(Kaplan and Prato 2012)"},"properties":{"noteIndex":0},"schema":"https://github.com/citation-style-language/schema/raw/master/csl-citation.json"}</w:instrText>
            </w:r>
            <w:r w:rsidRPr="007C5C92">
              <w:rPr>
                <w:rFonts w:eastAsia="Times New Roman" w:cs="Times New Roman"/>
                <w:noProof/>
                <w:color w:val="000000"/>
                <w:sz w:val="20"/>
                <w:szCs w:val="20"/>
              </w:rPr>
              <w:fldChar w:fldCharType="separate"/>
            </w:r>
            <w:r w:rsidRPr="007C5C92">
              <w:rPr>
                <w:rFonts w:eastAsia="Times New Roman" w:cs="Times New Roman"/>
                <w:noProof/>
                <w:color w:val="000000"/>
                <w:sz w:val="20"/>
                <w:szCs w:val="20"/>
              </w:rPr>
              <w:t>Kaplan and Prato 2012</w:t>
            </w:r>
            <w:r w:rsidRPr="007C5C92">
              <w:rPr>
                <w:rFonts w:eastAsia="Times New Roman" w:cs="Times New Roman"/>
                <w:noProof/>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47726657"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To analyze the injury severity in bus accidents </w:t>
            </w:r>
          </w:p>
        </w:tc>
        <w:tc>
          <w:tcPr>
            <w:tcW w:w="2970" w:type="dxa"/>
            <w:tcBorders>
              <w:top w:val="nil"/>
              <w:left w:val="nil"/>
              <w:bottom w:val="single" w:sz="4" w:space="0" w:color="auto"/>
              <w:right w:val="single" w:sz="4" w:space="0" w:color="auto"/>
            </w:tcBorders>
            <w:noWrap/>
            <w:vAlign w:val="center"/>
            <w:hideMark/>
          </w:tcPr>
          <w:p w14:paraId="0ACCEE4D"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GES</w:t>
            </w:r>
            <w:r w:rsidRPr="00ED7903">
              <w:rPr>
                <w:rFonts w:eastAsia="Times New Roman" w:cs="Times New Roman"/>
                <w:color w:val="000000"/>
                <w:sz w:val="20"/>
                <w:szCs w:val="20"/>
              </w:rPr>
              <w:t xml:space="preserve"> database (US; 2005-2009)</w:t>
            </w:r>
          </w:p>
        </w:tc>
        <w:tc>
          <w:tcPr>
            <w:tcW w:w="1620" w:type="dxa"/>
            <w:tcBorders>
              <w:top w:val="nil"/>
              <w:left w:val="nil"/>
              <w:bottom w:val="single" w:sz="4" w:space="0" w:color="auto"/>
              <w:right w:val="single" w:sz="4" w:space="0" w:color="auto"/>
            </w:tcBorders>
            <w:noWrap/>
            <w:vAlign w:val="center"/>
            <w:hideMark/>
          </w:tcPr>
          <w:p w14:paraId="72DEB984"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(5)</w:t>
            </w:r>
          </w:p>
        </w:tc>
        <w:tc>
          <w:tcPr>
            <w:tcW w:w="2250" w:type="dxa"/>
            <w:tcBorders>
              <w:top w:val="single" w:sz="4" w:space="0" w:color="auto"/>
              <w:left w:val="nil"/>
              <w:bottom w:val="single" w:sz="4" w:space="0" w:color="auto"/>
              <w:right w:val="single" w:sz="4" w:space="0" w:color="auto"/>
            </w:tcBorders>
            <w:vAlign w:val="center"/>
          </w:tcPr>
          <w:p w14:paraId="657FE9F9" w14:textId="77777777" w:rsidR="00D665BB" w:rsidRPr="00475F17" w:rsidRDefault="00D665BB" w:rsidP="00B40864">
            <w:pPr>
              <w:spacing w:after="0"/>
              <w:rPr>
                <w:rFonts w:eastAsia="Times New Roman" w:cs="Times New Roman"/>
                <w:color w:val="000000"/>
                <w:sz w:val="20"/>
                <w:szCs w:val="20"/>
              </w:rPr>
            </w:pPr>
            <w:r w:rsidRPr="00475F17">
              <w:rPr>
                <w:sz w:val="20"/>
                <w:szCs w:val="20"/>
              </w:rPr>
              <w:t>Property damage, light, severe non-incapacitating, incapacitating injury and fatality</w:t>
            </w:r>
          </w:p>
        </w:tc>
        <w:tc>
          <w:tcPr>
            <w:tcW w:w="1350" w:type="dxa"/>
            <w:tcBorders>
              <w:top w:val="nil"/>
              <w:left w:val="single" w:sz="4" w:space="0" w:color="auto"/>
              <w:bottom w:val="single" w:sz="4" w:space="0" w:color="auto"/>
              <w:right w:val="single" w:sz="4" w:space="0" w:color="auto"/>
            </w:tcBorders>
            <w:noWrap/>
            <w:vAlign w:val="center"/>
            <w:hideMark/>
          </w:tcPr>
          <w:p w14:paraId="773FDA62"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PPO</w:t>
            </w:r>
            <w:r w:rsidRPr="007C5C92">
              <w:rPr>
                <w:rFonts w:eastAsia="Times New Roman" w:cs="Times New Roman"/>
                <w:color w:val="000000"/>
                <w:sz w:val="20"/>
                <w:szCs w:val="20"/>
              </w:rPr>
              <w:t xml:space="preserve"> (logit)</w:t>
            </w:r>
          </w:p>
        </w:tc>
      </w:tr>
      <w:tr w:rsidR="00D665BB" w:rsidRPr="007C5C92" w14:paraId="22A04C59"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7962A383"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noProof/>
                <w:color w:val="000000"/>
                <w:sz w:val="20"/>
                <w:szCs w:val="20"/>
              </w:rPr>
              <w:fldChar w:fldCharType="begin" w:fldLock="1"/>
            </w:r>
            <w:r w:rsidRPr="007C5C92">
              <w:rPr>
                <w:rFonts w:eastAsia="Times New Roman" w:cs="Times New Roman"/>
                <w:noProof/>
                <w:color w:val="000000"/>
                <w:sz w:val="20"/>
                <w:szCs w:val="20"/>
              </w:rPr>
              <w:instrText>ADDIN CSL_CITATION {"citationItems":[{"id":"ITEM-1","itemData":{"DOI":"10.1177/1687814018781625","ISBN":"1687814018781","ISSN":"16878140","abstract":"A thorough crash modeling effort was made to examine e-bicyclists’ injury severity, using a generalized ordered logit model, which can capture the ordinal nature of injury severity and allow for heterogeneity across observations. A number of factors associated with injury severity of e-bicyclists are identified, including older e-bicyclists, heavy truck involved, e-bicyclist at fault, e-bicyclist turn left, e-bicyclist cross the road, driver turn right, industrial area, weekday, and tree separation. Safety countermeasures and interventions are thus proposed based on the modeling results, including developing educational programs for specific age groups (e.g. older e-bicyclists, female e-bicyclists, and inexperienced drivers), launching safety campaigns, improving geometric design and traffic control in low-developed area, curve roads, and signalized intersections. Moreover, some interesting research topics are also suggested, such as examining head-on e-bike crash mechanism, crash mechanism between e-bicyclists and heavy trucks and motorcycles, and safety effects of different separation treatments on e-bicyclists’ injury severity from kinetic and kinematic perspectives.","author":[{"dropping-particle":"","family":"Wang","given":"Tao","non-dropping-particle":"","parse-names":false,"suffix":""},{"dropping-particle":"","family":"Chen","given":"Jun","non-dropping-particle":"","parse-names":false,"suffix":""},{"dropping-particle":"","family":"Wang","given":"Chen","non-dropping-particle":"","parse-names":false,"suffix":""},{"dropping-particle":"","family":"Ye","given":"Xiaofei","non-dropping-particle":"","parse-names":false,"suffix":""}],"container-title":"Advances in Mechanical Engineering","id":"ITEM-1","issue":"6","issued":{"date-parts":[["2018"]]},"page":"1-11","title":"Understand e-bicyclist safety in China: Crash severity modeling using a generalized ordered logit model","type":"article-journal","volume":"10"},"uris":["http://www.mendeley.com/documents/?uuid=eb7b3476-276c-42fb-89d1-57acdb9b89b5"]}],"mendeley":{"formattedCitation":"(Wang et al. 2018)","manualFormatting":"Wang et al. 2018","plainTextFormattedCitation":"(Wang et al. 2018)","previouslyFormattedCitation":"(Wang et al. 2018)"},"properties":{"noteIndex":0},"schema":"https://github.com/citation-style-language/schema/raw/master/csl-citation.json"}</w:instrText>
            </w:r>
            <w:r w:rsidRPr="007C5C92">
              <w:rPr>
                <w:rFonts w:eastAsia="Times New Roman" w:cs="Times New Roman"/>
                <w:noProof/>
                <w:color w:val="000000"/>
                <w:sz w:val="20"/>
                <w:szCs w:val="20"/>
              </w:rPr>
              <w:fldChar w:fldCharType="separate"/>
            </w:r>
            <w:r w:rsidRPr="007C5C92">
              <w:rPr>
                <w:rFonts w:eastAsia="Times New Roman" w:cs="Times New Roman"/>
                <w:noProof/>
                <w:color w:val="000000"/>
                <w:sz w:val="20"/>
                <w:szCs w:val="20"/>
              </w:rPr>
              <w:t>Wang et al. 2018</w:t>
            </w:r>
            <w:r w:rsidRPr="007C5C92">
              <w:rPr>
                <w:rFonts w:eastAsia="Times New Roman" w:cs="Times New Roman"/>
                <w:noProof/>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5827C5D6" w14:textId="7EE3E362"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w:t>
            </w:r>
            <w:r w:rsidR="00466EDA">
              <w:rPr>
                <w:rFonts w:eastAsia="Times New Roman" w:cs="Times New Roman"/>
                <w:color w:val="000000"/>
                <w:sz w:val="20"/>
                <w:szCs w:val="20"/>
              </w:rPr>
              <w:t>study</w:t>
            </w:r>
            <w:r w:rsidR="00466EDA" w:rsidRPr="00ED7903">
              <w:rPr>
                <w:rFonts w:eastAsia="Times New Roman" w:cs="Times New Roman"/>
                <w:color w:val="000000"/>
                <w:sz w:val="20"/>
                <w:szCs w:val="20"/>
              </w:rPr>
              <w:t xml:space="preserve"> </w:t>
            </w:r>
            <w:r w:rsidRPr="00ED7903">
              <w:rPr>
                <w:rFonts w:eastAsia="Times New Roman" w:cs="Times New Roman"/>
                <w:color w:val="000000"/>
                <w:sz w:val="20"/>
                <w:szCs w:val="20"/>
              </w:rPr>
              <w:t>e-bicyclists’ injury severity</w:t>
            </w:r>
          </w:p>
        </w:tc>
        <w:tc>
          <w:tcPr>
            <w:tcW w:w="2970" w:type="dxa"/>
            <w:tcBorders>
              <w:top w:val="nil"/>
              <w:left w:val="nil"/>
              <w:bottom w:val="single" w:sz="4" w:space="0" w:color="auto"/>
              <w:right w:val="single" w:sz="4" w:space="0" w:color="auto"/>
            </w:tcBorders>
            <w:noWrap/>
            <w:vAlign w:val="center"/>
            <w:hideMark/>
          </w:tcPr>
          <w:p w14:paraId="08DD764A"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Police Department Database (China; 2008-2014)</w:t>
            </w:r>
          </w:p>
        </w:tc>
        <w:tc>
          <w:tcPr>
            <w:tcW w:w="1620" w:type="dxa"/>
            <w:tcBorders>
              <w:top w:val="nil"/>
              <w:left w:val="nil"/>
              <w:bottom w:val="single" w:sz="4" w:space="0" w:color="auto"/>
              <w:right w:val="single" w:sz="4" w:space="0" w:color="auto"/>
            </w:tcBorders>
            <w:noWrap/>
            <w:vAlign w:val="center"/>
            <w:hideMark/>
          </w:tcPr>
          <w:p w14:paraId="330FBCAA"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(4)</w:t>
            </w:r>
          </w:p>
        </w:tc>
        <w:tc>
          <w:tcPr>
            <w:tcW w:w="2250" w:type="dxa"/>
            <w:tcBorders>
              <w:top w:val="single" w:sz="4" w:space="0" w:color="auto"/>
              <w:left w:val="nil"/>
              <w:bottom w:val="single" w:sz="4" w:space="0" w:color="auto"/>
              <w:right w:val="single" w:sz="4" w:space="0" w:color="auto"/>
            </w:tcBorders>
            <w:vAlign w:val="center"/>
          </w:tcPr>
          <w:p w14:paraId="7DC5A00B" w14:textId="77777777" w:rsidR="00D665BB" w:rsidRPr="00475F17" w:rsidRDefault="00D665BB" w:rsidP="00B40864">
            <w:pPr>
              <w:spacing w:after="0"/>
              <w:rPr>
                <w:rFonts w:eastAsia="Times New Roman" w:cs="Times New Roman"/>
                <w:color w:val="000000"/>
                <w:sz w:val="20"/>
                <w:szCs w:val="20"/>
              </w:rPr>
            </w:pPr>
            <w:r w:rsidRPr="00475F17">
              <w:rPr>
                <w:sz w:val="20"/>
                <w:szCs w:val="20"/>
              </w:rPr>
              <w:t>No injury, no treatment injury, treatment injury and fatality</w:t>
            </w:r>
          </w:p>
        </w:tc>
        <w:tc>
          <w:tcPr>
            <w:tcW w:w="1350" w:type="dxa"/>
            <w:tcBorders>
              <w:top w:val="nil"/>
              <w:left w:val="single" w:sz="4" w:space="0" w:color="auto"/>
              <w:bottom w:val="single" w:sz="4" w:space="0" w:color="auto"/>
              <w:right w:val="single" w:sz="4" w:space="0" w:color="auto"/>
            </w:tcBorders>
            <w:noWrap/>
            <w:vAlign w:val="center"/>
            <w:hideMark/>
          </w:tcPr>
          <w:p w14:paraId="2199C17B"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PPO</w:t>
            </w:r>
            <w:r w:rsidRPr="007C5C92">
              <w:rPr>
                <w:rFonts w:eastAsia="Times New Roman" w:cs="Times New Roman"/>
                <w:color w:val="000000"/>
                <w:sz w:val="20"/>
                <w:szCs w:val="20"/>
              </w:rPr>
              <w:t xml:space="preserve"> (logit)</w:t>
            </w:r>
          </w:p>
        </w:tc>
      </w:tr>
      <w:tr w:rsidR="00D665BB" w:rsidRPr="007C5C92" w14:paraId="6B7ABC9A"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7A9DC2CD"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noProof/>
                <w:color w:val="000000"/>
                <w:sz w:val="20"/>
                <w:szCs w:val="20"/>
              </w:rPr>
              <w:fldChar w:fldCharType="begin" w:fldLock="1"/>
            </w:r>
            <w:r w:rsidRPr="007C5C92">
              <w:rPr>
                <w:rFonts w:eastAsia="Times New Roman" w:cs="Times New Roman"/>
                <w:noProof/>
                <w:color w:val="000000"/>
                <w:sz w:val="20"/>
                <w:szCs w:val="20"/>
              </w:rPr>
              <w:instrText>ADDIN CSL_CITATION {"citationItems":[{"id":"ITEM-1","itemData":{"DOI":"10.1016/j.aap.2014.05.003","ISSN":"00014575","PMID":"24866353","abstract":"The severity of injury from vehicle crash is a result of a complex interaction of factors related to drivers' behavior, vehicle characteristics, road geometric and environmental conditions. Knowing to what extent each factor contributes to the severity of an injury is very important. The objective of the study was to assess factors that contribute to crash injury severity in Ethiopia. Data was collected from June 2012 to July 2013 on one of the main and busiest highway of Ethiopia, which extends from the capital Addis Ababa to Hawassa. During the study period a total of 819 road crashes was recorded and investigated by trained crash detectors. A generalized ordered logit/partial proportional odds model was used to examine factors that might influence the severity of crash injury. Model estimation result suggested that, alcohol use (Coef. = 0.5565; p-value = 0.017), falling asleep while driving (Coef. = 1.3102; p-value = 0.000), driving at night time in the absence of street light (Coef. = 0.3920; p-value = 0.033), rainfall (Coef. = 0.9164; p-value = 0.000) and being a minibus or vans (Coef. = 0.5065; p-value = 0.013) were found to be increased crash injury severity. On the other hand, speeding was identified to have varying coefficients for different injury levels, its highest effects on sever and fatal crashes. In this study risky driving behaviors (speeding, alcohol use and sleep/fatigue) were a powerful predictor of crash injury severity. Therefore, better driver licensing and road safety awareness campaign complimented with strict police enforcement can play a pivotal role to improve road safety. Further effort needed as well to monitor speed control strategies like; using the radar control and physical speed restraint measures (i.e., rumble strips). © 2014 Published by Elsevier Ltd.","author":[{"dropping-particle":"","family":"Abegaz","given":"Teferi","non-dropping-particle":"","parse-names":false,"suffix":""},{"dropping-particle":"","family":"Berhane","given":"Yemane","non-dropping-particle":"","parse-names":false,"suffix":""},{"dropping-particle":"","family":"Worku","given":"Alemayehu","non-dropping-particle":"","parse-names":false,"suffix":""},{"dropping-particle":"","family":"Assrat","given":"Abebe","non-dropping-particle":"","parse-names":false,"suffix":""},{"dropping-particle":"","family":"Assefa","given":"Abebayehu","non-dropping-particle":"","parse-names":false,"suffix":""}],"container-title":"Accident Analysis and Prevention","id":"ITEM-1","issued":{"date-parts":[["2014"]]},"page":"15-21","publisher":"Elsevier Ltd","title":"Effects of excessive speeding and falling asleep while driving on crash injury severity in Ethiopia: A generalized ordered logit model analysis","type":"article-journal","volume":"71"},"uris":["http://www.mendeley.com/documents/?uuid=3f16a9f0-b30f-4c9d-8585-7ed90539a71c"]}],"mendeley":{"formattedCitation":"(Abegaz et al. 2014)","manualFormatting":"Abegaz et al. 2014","plainTextFormattedCitation":"(Abegaz et al. 2014)","previouslyFormattedCitation":"(Abegaz et al. 2014)"},"properties":{"noteIndex":0},"schema":"https://github.com/citation-style-language/schema/raw/master/csl-citation.json"}</w:instrText>
            </w:r>
            <w:r w:rsidRPr="007C5C92">
              <w:rPr>
                <w:rFonts w:eastAsia="Times New Roman" w:cs="Times New Roman"/>
                <w:noProof/>
                <w:color w:val="000000"/>
                <w:sz w:val="20"/>
                <w:szCs w:val="20"/>
              </w:rPr>
              <w:fldChar w:fldCharType="separate"/>
            </w:r>
            <w:r w:rsidRPr="007C5C92">
              <w:rPr>
                <w:rFonts w:eastAsia="Times New Roman" w:cs="Times New Roman"/>
                <w:noProof/>
                <w:color w:val="000000"/>
                <w:sz w:val="20"/>
                <w:szCs w:val="20"/>
              </w:rPr>
              <w:t>Abegaz et al. 2014</w:t>
            </w:r>
            <w:r w:rsidRPr="007C5C92">
              <w:rPr>
                <w:rFonts w:eastAsia="Times New Roman" w:cs="Times New Roman"/>
                <w:noProof/>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114735D3" w14:textId="4DC0F2AF"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w:t>
            </w:r>
            <w:r w:rsidR="00466EDA">
              <w:rPr>
                <w:rFonts w:eastAsia="Times New Roman" w:cs="Times New Roman"/>
                <w:color w:val="000000"/>
                <w:sz w:val="20"/>
                <w:szCs w:val="20"/>
              </w:rPr>
              <w:t>characterize</w:t>
            </w:r>
            <w:r w:rsidR="00466EDA" w:rsidRPr="00ED7903">
              <w:rPr>
                <w:rFonts w:eastAsia="Times New Roman" w:cs="Times New Roman"/>
                <w:color w:val="000000"/>
                <w:sz w:val="20"/>
                <w:szCs w:val="20"/>
              </w:rPr>
              <w:t xml:space="preserve"> </w:t>
            </w:r>
            <w:r w:rsidRPr="00ED7903">
              <w:rPr>
                <w:rFonts w:eastAsia="Times New Roman" w:cs="Times New Roman"/>
                <w:color w:val="000000"/>
                <w:sz w:val="20"/>
                <w:szCs w:val="20"/>
              </w:rPr>
              <w:t xml:space="preserve">the </w:t>
            </w:r>
            <w:r w:rsidR="00466EDA">
              <w:rPr>
                <w:rFonts w:eastAsia="Times New Roman" w:cs="Times New Roman"/>
                <w:color w:val="000000"/>
                <w:sz w:val="20"/>
                <w:szCs w:val="20"/>
              </w:rPr>
              <w:t xml:space="preserve">impact </w:t>
            </w:r>
            <w:r w:rsidRPr="00ED7903">
              <w:rPr>
                <w:rFonts w:eastAsia="Times New Roman" w:cs="Times New Roman"/>
                <w:color w:val="000000"/>
                <w:sz w:val="20"/>
                <w:szCs w:val="20"/>
              </w:rPr>
              <w:t>of speeding and falling asleep on crash injury severity</w:t>
            </w:r>
          </w:p>
        </w:tc>
        <w:tc>
          <w:tcPr>
            <w:tcW w:w="2970" w:type="dxa"/>
            <w:tcBorders>
              <w:top w:val="nil"/>
              <w:left w:val="nil"/>
              <w:bottom w:val="single" w:sz="4" w:space="0" w:color="auto"/>
              <w:right w:val="single" w:sz="4" w:space="0" w:color="auto"/>
            </w:tcBorders>
            <w:noWrap/>
            <w:vAlign w:val="center"/>
            <w:hideMark/>
          </w:tcPr>
          <w:p w14:paraId="73E8A329"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Crash detector data (Ethiopia; 2012-2013)</w:t>
            </w:r>
          </w:p>
        </w:tc>
        <w:tc>
          <w:tcPr>
            <w:tcW w:w="1620" w:type="dxa"/>
            <w:tcBorders>
              <w:top w:val="nil"/>
              <w:left w:val="nil"/>
              <w:bottom w:val="single" w:sz="4" w:space="0" w:color="auto"/>
              <w:right w:val="single" w:sz="4" w:space="0" w:color="auto"/>
            </w:tcBorders>
            <w:noWrap/>
            <w:vAlign w:val="center"/>
            <w:hideMark/>
          </w:tcPr>
          <w:p w14:paraId="3EC84EFC"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(4)</w:t>
            </w:r>
          </w:p>
        </w:tc>
        <w:tc>
          <w:tcPr>
            <w:tcW w:w="2250" w:type="dxa"/>
            <w:tcBorders>
              <w:top w:val="single" w:sz="4" w:space="0" w:color="auto"/>
              <w:left w:val="nil"/>
              <w:bottom w:val="single" w:sz="4" w:space="0" w:color="auto"/>
              <w:right w:val="single" w:sz="4" w:space="0" w:color="auto"/>
            </w:tcBorders>
            <w:vAlign w:val="center"/>
          </w:tcPr>
          <w:p w14:paraId="258AF363" w14:textId="77777777" w:rsidR="00D665BB" w:rsidRPr="00475F17" w:rsidRDefault="00D665BB" w:rsidP="00B40864">
            <w:pPr>
              <w:spacing w:after="0"/>
              <w:rPr>
                <w:rFonts w:eastAsia="Times New Roman" w:cs="Times New Roman"/>
                <w:color w:val="000000"/>
                <w:sz w:val="20"/>
                <w:szCs w:val="20"/>
              </w:rPr>
            </w:pPr>
            <w:r w:rsidRPr="00475F17">
              <w:rPr>
                <w:sz w:val="20"/>
                <w:szCs w:val="20"/>
              </w:rPr>
              <w:t>Property damage, minor injury, serious injury and fatal</w:t>
            </w:r>
          </w:p>
        </w:tc>
        <w:tc>
          <w:tcPr>
            <w:tcW w:w="1350" w:type="dxa"/>
            <w:tcBorders>
              <w:top w:val="nil"/>
              <w:left w:val="single" w:sz="4" w:space="0" w:color="auto"/>
              <w:bottom w:val="single" w:sz="4" w:space="0" w:color="auto"/>
              <w:right w:val="single" w:sz="4" w:space="0" w:color="auto"/>
            </w:tcBorders>
            <w:noWrap/>
            <w:vAlign w:val="center"/>
            <w:hideMark/>
          </w:tcPr>
          <w:p w14:paraId="5EA7EEA3"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PPO</w:t>
            </w:r>
            <w:r w:rsidRPr="007C5C92">
              <w:rPr>
                <w:rFonts w:eastAsia="Times New Roman" w:cs="Times New Roman"/>
                <w:color w:val="000000"/>
                <w:sz w:val="20"/>
                <w:szCs w:val="20"/>
              </w:rPr>
              <w:t xml:space="preserve"> (logit)</w:t>
            </w:r>
          </w:p>
        </w:tc>
      </w:tr>
      <w:tr w:rsidR="00D665BB" w:rsidRPr="007C5C92" w14:paraId="0DFAF405"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5EA25488"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noProof/>
                <w:color w:val="000000"/>
                <w:sz w:val="20"/>
                <w:szCs w:val="20"/>
              </w:rPr>
              <w:fldChar w:fldCharType="begin" w:fldLock="1"/>
            </w:r>
            <w:r w:rsidRPr="007C5C92">
              <w:rPr>
                <w:rFonts w:eastAsia="Times New Roman" w:cs="Times New Roman"/>
                <w:noProof/>
                <w:color w:val="000000"/>
                <w:sz w:val="20"/>
                <w:szCs w:val="20"/>
              </w:rPr>
              <w:instrText>ADDIN CSL_CITATION {"citationItems":[{"id":"ITEM-1","itemData":{"DOI":"10.1016/j.amar.2018.09.001","ISSN":"22136657","abstract":"The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author":[{"dropping-particle":"","family":"Marcoux","given":"Robert","non-dropping-particle":"","parse-names":false,"suffix":""},{"dropping-particle":"","family":"Yasmin","given":"Shamsunnahar","non-dropping-particle":"","parse-names":false,"suffix":""},{"dropping-particle":"","family":"Eluru","given":"Naveen","non-dropping-particle":"","parse-names":false,"suffix":""},{"dropping-particle":"","family":"Rahman","given":"Moshiur","non-dropping-particle":"","parse-names":false,"suffix":""}],"container-title":"Analytic Methods in Accident Research","id":"ITEM-1","issue":"September","issued":{"date-parts":[["2018"]]},"page":"15-29","publisher":"Elsevier Ltd","title":"Evaluating temporal variability of exogenous variable impacts over 25 years: An application of scaled generalized ordered logit model for driver injury severity","type":"article-journal","volume":"20"},"uris":["http://www.mendeley.com/documents/?uuid=b91e3d61-bc4b-41b6-8b38-819564da1ba6"]}],"mendeley":{"formattedCitation":"(Marcoux et al. 2018)","manualFormatting":"Marcoux et al. 2018","plainTextFormattedCitation":"(Marcoux et al. 2018)","previouslyFormattedCitation":"(Marcoux et al. 2018)"},"properties":{"noteIndex":0},"schema":"https://github.com/citation-style-language/schema/raw/master/csl-citation.json"}</w:instrText>
            </w:r>
            <w:r w:rsidRPr="007C5C92">
              <w:rPr>
                <w:rFonts w:eastAsia="Times New Roman" w:cs="Times New Roman"/>
                <w:noProof/>
                <w:color w:val="000000"/>
                <w:sz w:val="20"/>
                <w:szCs w:val="20"/>
              </w:rPr>
              <w:fldChar w:fldCharType="separate"/>
            </w:r>
            <w:r w:rsidRPr="007C5C92">
              <w:rPr>
                <w:rFonts w:eastAsia="Times New Roman" w:cs="Times New Roman"/>
                <w:noProof/>
                <w:color w:val="000000"/>
                <w:sz w:val="20"/>
                <w:szCs w:val="20"/>
              </w:rPr>
              <w:t>Marcoux et al. 2018</w:t>
            </w:r>
            <w:r w:rsidRPr="007C5C92">
              <w:rPr>
                <w:rFonts w:eastAsia="Times New Roman" w:cs="Times New Roman"/>
                <w:noProof/>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1491D786" w14:textId="1931951B"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quantify the </w:t>
            </w:r>
            <w:r w:rsidR="00466EDA">
              <w:rPr>
                <w:rFonts w:eastAsia="Times New Roman" w:cs="Times New Roman"/>
                <w:color w:val="000000"/>
                <w:sz w:val="20"/>
                <w:szCs w:val="20"/>
              </w:rPr>
              <w:t xml:space="preserve">temporal variation in </w:t>
            </w:r>
            <w:r w:rsidRPr="00ED7903">
              <w:rPr>
                <w:rFonts w:eastAsia="Times New Roman" w:cs="Times New Roman"/>
                <w:color w:val="000000"/>
                <w:sz w:val="20"/>
                <w:szCs w:val="20"/>
              </w:rPr>
              <w:t>exogenous factor</w:t>
            </w:r>
            <w:r w:rsidR="00466EDA">
              <w:rPr>
                <w:rFonts w:eastAsia="Times New Roman" w:cs="Times New Roman"/>
                <w:color w:val="000000"/>
                <w:sz w:val="20"/>
                <w:szCs w:val="20"/>
              </w:rPr>
              <w:t xml:space="preserve">/variable impact </w:t>
            </w:r>
            <w:r w:rsidRPr="00ED7903">
              <w:rPr>
                <w:rFonts w:eastAsia="Times New Roman" w:cs="Times New Roman"/>
                <w:color w:val="000000"/>
                <w:sz w:val="20"/>
                <w:szCs w:val="20"/>
              </w:rPr>
              <w:t xml:space="preserve">on crash severity </w:t>
            </w:r>
          </w:p>
        </w:tc>
        <w:tc>
          <w:tcPr>
            <w:tcW w:w="2970" w:type="dxa"/>
            <w:tcBorders>
              <w:top w:val="nil"/>
              <w:left w:val="nil"/>
              <w:bottom w:val="single" w:sz="4" w:space="0" w:color="auto"/>
              <w:right w:val="single" w:sz="4" w:space="0" w:color="auto"/>
            </w:tcBorders>
            <w:noWrap/>
            <w:vAlign w:val="center"/>
            <w:hideMark/>
          </w:tcPr>
          <w:p w14:paraId="3A05FBA8"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 xml:space="preserve">GES </w:t>
            </w:r>
            <w:r w:rsidRPr="00ED7903">
              <w:rPr>
                <w:rFonts w:eastAsia="Times New Roman" w:cs="Times New Roman"/>
                <w:color w:val="000000"/>
                <w:sz w:val="20"/>
                <w:szCs w:val="20"/>
              </w:rPr>
              <w:t>database (US; 1989-2014)</w:t>
            </w:r>
          </w:p>
        </w:tc>
        <w:tc>
          <w:tcPr>
            <w:tcW w:w="1620" w:type="dxa"/>
            <w:tcBorders>
              <w:top w:val="nil"/>
              <w:left w:val="nil"/>
              <w:bottom w:val="single" w:sz="4" w:space="0" w:color="auto"/>
              <w:right w:val="single" w:sz="4" w:space="0" w:color="auto"/>
            </w:tcBorders>
            <w:noWrap/>
            <w:vAlign w:val="center"/>
            <w:hideMark/>
          </w:tcPr>
          <w:p w14:paraId="12943CEB"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(5)</w:t>
            </w:r>
          </w:p>
        </w:tc>
        <w:tc>
          <w:tcPr>
            <w:tcW w:w="2250" w:type="dxa"/>
            <w:tcBorders>
              <w:top w:val="single" w:sz="4" w:space="0" w:color="auto"/>
              <w:left w:val="nil"/>
              <w:bottom w:val="single" w:sz="4" w:space="0" w:color="auto"/>
              <w:right w:val="single" w:sz="4" w:space="0" w:color="auto"/>
            </w:tcBorders>
            <w:vAlign w:val="center"/>
          </w:tcPr>
          <w:p w14:paraId="5BF1B187" w14:textId="6BB7EB44" w:rsidR="00D665BB" w:rsidRPr="00475F17" w:rsidRDefault="00D665BB" w:rsidP="00B40864">
            <w:pPr>
              <w:spacing w:after="0"/>
              <w:rPr>
                <w:rFonts w:eastAsia="Times New Roman" w:cs="Times New Roman"/>
                <w:color w:val="000000"/>
                <w:sz w:val="20"/>
                <w:szCs w:val="20"/>
              </w:rPr>
            </w:pPr>
            <w:r w:rsidRPr="00475F17">
              <w:rPr>
                <w:sz w:val="20"/>
                <w:szCs w:val="20"/>
              </w:rPr>
              <w:t xml:space="preserve">No injury, </w:t>
            </w:r>
            <w:r w:rsidR="009B4E85">
              <w:rPr>
                <w:sz w:val="20"/>
                <w:szCs w:val="20"/>
              </w:rPr>
              <w:t>p</w:t>
            </w:r>
            <w:r w:rsidRPr="00475F17">
              <w:rPr>
                <w:sz w:val="20"/>
                <w:szCs w:val="20"/>
              </w:rPr>
              <w:t xml:space="preserve">ossible injury, non-incapacitating, incapacitating and </w:t>
            </w:r>
            <w:r w:rsidR="009B4E85">
              <w:rPr>
                <w:sz w:val="20"/>
                <w:szCs w:val="20"/>
              </w:rPr>
              <w:t>f</w:t>
            </w:r>
            <w:r w:rsidRPr="00475F17">
              <w:rPr>
                <w:sz w:val="20"/>
                <w:szCs w:val="20"/>
              </w:rPr>
              <w:t>atal injury</w:t>
            </w:r>
          </w:p>
        </w:tc>
        <w:tc>
          <w:tcPr>
            <w:tcW w:w="1350" w:type="dxa"/>
            <w:tcBorders>
              <w:top w:val="nil"/>
              <w:left w:val="single" w:sz="4" w:space="0" w:color="auto"/>
              <w:bottom w:val="single" w:sz="4" w:space="0" w:color="auto"/>
              <w:right w:val="single" w:sz="4" w:space="0" w:color="auto"/>
            </w:tcBorders>
            <w:noWrap/>
            <w:vAlign w:val="center"/>
            <w:hideMark/>
          </w:tcPr>
          <w:p w14:paraId="62345DAF"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MGOR</w:t>
            </w:r>
            <w:r w:rsidRPr="007C5C92">
              <w:rPr>
                <w:rFonts w:eastAsia="Times New Roman" w:cs="Times New Roman"/>
                <w:color w:val="000000"/>
                <w:sz w:val="20"/>
                <w:szCs w:val="20"/>
              </w:rPr>
              <w:t xml:space="preserve"> (logit)</w:t>
            </w:r>
          </w:p>
        </w:tc>
      </w:tr>
      <w:tr w:rsidR="00D665BB" w:rsidRPr="007C5C92" w14:paraId="74D2BEE0"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6F701770"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noProof/>
                <w:color w:val="000000"/>
                <w:sz w:val="20"/>
                <w:szCs w:val="20"/>
              </w:rPr>
              <w:fldChar w:fldCharType="begin" w:fldLock="1"/>
            </w:r>
            <w:r w:rsidRPr="007C5C92">
              <w:rPr>
                <w:rFonts w:eastAsia="Times New Roman" w:cs="Times New Roman"/>
                <w:noProof/>
                <w:color w:val="000000"/>
                <w:sz w:val="20"/>
                <w:szCs w:val="20"/>
              </w:rPr>
              <w:instrText>ADDIN CSL_CITATION {"citationItems":[{"id":"ITEM-1","itemData":{"DOI":"10.1016/j.uclim.2022.101388","ISSN":"22120955","abstract":"This work tried to better understand the factors behind severe and fatal injuries in pedestrian and vehicle accidents while giving a special attention to built environment parameters. Statistical models were applied on the traffic accident data reported by the traffic police in the emirate of Abu Dhabi over a period of 5 and a half years, between 2008 and 2013. A review of the literature on traffic accidents and injury levels showed that Random Parameter Logit models are well suited for pedestrian-vehicle accidents, while Generalized Ordered Logit models prove a good fit for vehicle-vehicle accidents. The models were completed using statistical analysis software STATA from Statacorp. The results of the modelling showed that overall pedestrians above 51 were at a higher risk of sustaining severe or fatal injuries, and that driver and pedestrian distraction was number one reason for pedestrian-vehicle accidents with around 64% of the total. Additionally, bad lighting condition was found to be directly correlated with higher injury levels among pedestrians. Meanwhile, it was observed that on motor ways accidents due to distracted driving were more probable than those in one-way streets, and pavements covered with sand had a negative impact on driver distraction. To better understand the driver behaviour among people in Kuwait, an online survey was conducted, and a total of 625 participants most of whom were females (399) completed it. The completed responses were inputted into SPSS, the statistical software from IBM, in order to look for correlations between the responses. The results showed that being a male and being a younger driver is strongly correlated with taking risks, violating traffic rules as well as driving aggressively. Therefore, to improve road safety in Kuwait, it is important to implement concepts similar to those found in the Abu Dhabi Urban Street Design Manual, followed by strict traffic law enforcement. In addition, conducting awareness campaigns at Universities and secondary school is needed to tackle the younger generation who will soon obtain their driving licenses.","author":[{"dropping-particle":"","family":"AlKheder","given":"Sharaf","non-dropping-particle":"","parse-names":false,"suffix":""}],"container-title":"Urban Climate","id":"ITEM-1","issue":"December 2022","issued":{"date-parts":[["2023"]]},"page":"101388","publisher":"Elsevier B.V.","title":"Studying the effect of built environment on traffic safety with random parameter and generalized ordered logit models","type":"article-journal","volume":"47"},"uris":["http://www.mendeley.com/documents/?uuid=7db4b6b5-29be-4054-8a8f-40731ccfde8c"]}],"mendeley":{"formattedCitation":"(AlKheder 2023)","manualFormatting":"AlKheder 2023","plainTextFormattedCitation":"(AlKheder 2023)","previouslyFormattedCitation":"(AlKheder 2023)"},"properties":{"noteIndex":0},"schema":"https://github.com/citation-style-language/schema/raw/master/csl-citation.json"}</w:instrText>
            </w:r>
            <w:r w:rsidRPr="007C5C92">
              <w:rPr>
                <w:rFonts w:eastAsia="Times New Roman" w:cs="Times New Roman"/>
                <w:noProof/>
                <w:color w:val="000000"/>
                <w:sz w:val="20"/>
                <w:szCs w:val="20"/>
              </w:rPr>
              <w:fldChar w:fldCharType="separate"/>
            </w:r>
            <w:r w:rsidRPr="007C5C92">
              <w:rPr>
                <w:rFonts w:eastAsia="Times New Roman" w:cs="Times New Roman"/>
                <w:noProof/>
                <w:color w:val="000000"/>
                <w:sz w:val="20"/>
                <w:szCs w:val="20"/>
              </w:rPr>
              <w:t>AlKheder 2023</w:t>
            </w:r>
            <w:r w:rsidRPr="007C5C92">
              <w:rPr>
                <w:rFonts w:eastAsia="Times New Roman" w:cs="Times New Roman"/>
                <w:noProof/>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3A4029A9" w14:textId="7B532395"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identify </w:t>
            </w:r>
            <w:r w:rsidR="00466EDA">
              <w:rPr>
                <w:rFonts w:eastAsia="Times New Roman" w:cs="Times New Roman"/>
                <w:color w:val="000000"/>
                <w:sz w:val="20"/>
                <w:szCs w:val="20"/>
              </w:rPr>
              <w:t xml:space="preserve">how </w:t>
            </w:r>
            <w:r w:rsidRPr="00ED7903">
              <w:rPr>
                <w:rFonts w:eastAsia="Times New Roman" w:cs="Times New Roman"/>
                <w:color w:val="000000"/>
                <w:sz w:val="20"/>
                <w:szCs w:val="20"/>
              </w:rPr>
              <w:t xml:space="preserve">built environment </w:t>
            </w:r>
            <w:r w:rsidR="00466EDA">
              <w:rPr>
                <w:rFonts w:eastAsia="Times New Roman" w:cs="Times New Roman"/>
                <w:color w:val="000000"/>
                <w:sz w:val="20"/>
                <w:szCs w:val="20"/>
              </w:rPr>
              <w:t>affects</w:t>
            </w:r>
            <w:r w:rsidR="00466EDA" w:rsidRPr="00ED7903">
              <w:rPr>
                <w:rFonts w:eastAsia="Times New Roman" w:cs="Times New Roman"/>
                <w:color w:val="000000"/>
                <w:sz w:val="20"/>
                <w:szCs w:val="20"/>
              </w:rPr>
              <w:t xml:space="preserve"> </w:t>
            </w:r>
            <w:r w:rsidRPr="00ED7903">
              <w:rPr>
                <w:rFonts w:eastAsia="Times New Roman" w:cs="Times New Roman"/>
                <w:color w:val="000000"/>
                <w:sz w:val="20"/>
                <w:szCs w:val="20"/>
              </w:rPr>
              <w:t>traffic safety</w:t>
            </w:r>
          </w:p>
        </w:tc>
        <w:tc>
          <w:tcPr>
            <w:tcW w:w="2970" w:type="dxa"/>
            <w:tcBorders>
              <w:top w:val="nil"/>
              <w:left w:val="nil"/>
              <w:bottom w:val="single" w:sz="4" w:space="0" w:color="auto"/>
              <w:right w:val="single" w:sz="4" w:space="0" w:color="auto"/>
            </w:tcBorders>
            <w:noWrap/>
            <w:vAlign w:val="center"/>
            <w:hideMark/>
          </w:tcPr>
          <w:p w14:paraId="4A8B098B"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Police reported crash data (UAE; 2008-2013)</w:t>
            </w:r>
          </w:p>
        </w:tc>
        <w:tc>
          <w:tcPr>
            <w:tcW w:w="1620" w:type="dxa"/>
            <w:tcBorders>
              <w:top w:val="nil"/>
              <w:left w:val="nil"/>
              <w:bottom w:val="single" w:sz="4" w:space="0" w:color="auto"/>
              <w:right w:val="single" w:sz="4" w:space="0" w:color="auto"/>
            </w:tcBorders>
            <w:noWrap/>
            <w:vAlign w:val="center"/>
            <w:hideMark/>
          </w:tcPr>
          <w:p w14:paraId="52F9E878"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(4)</w:t>
            </w:r>
          </w:p>
        </w:tc>
        <w:tc>
          <w:tcPr>
            <w:tcW w:w="2250" w:type="dxa"/>
            <w:tcBorders>
              <w:top w:val="single" w:sz="4" w:space="0" w:color="auto"/>
              <w:left w:val="nil"/>
              <w:bottom w:val="single" w:sz="4" w:space="0" w:color="auto"/>
              <w:right w:val="single" w:sz="4" w:space="0" w:color="auto"/>
            </w:tcBorders>
            <w:vAlign w:val="center"/>
          </w:tcPr>
          <w:p w14:paraId="58582EAA" w14:textId="77777777" w:rsidR="00D665BB" w:rsidRPr="00475F17" w:rsidRDefault="00D665BB" w:rsidP="00B40864">
            <w:pPr>
              <w:spacing w:after="0"/>
              <w:rPr>
                <w:rFonts w:eastAsia="Times New Roman" w:cs="Times New Roman"/>
                <w:color w:val="000000"/>
                <w:sz w:val="20"/>
                <w:szCs w:val="20"/>
              </w:rPr>
            </w:pPr>
            <w:r w:rsidRPr="00475F17">
              <w:rPr>
                <w:sz w:val="20"/>
                <w:szCs w:val="20"/>
              </w:rPr>
              <w:t>Minor, moderate, severe, and fatal injury</w:t>
            </w:r>
          </w:p>
        </w:tc>
        <w:tc>
          <w:tcPr>
            <w:tcW w:w="1350" w:type="dxa"/>
            <w:tcBorders>
              <w:top w:val="nil"/>
              <w:left w:val="single" w:sz="4" w:space="0" w:color="auto"/>
              <w:bottom w:val="single" w:sz="4" w:space="0" w:color="auto"/>
              <w:right w:val="single" w:sz="4" w:space="0" w:color="auto"/>
            </w:tcBorders>
            <w:noWrap/>
            <w:vAlign w:val="center"/>
            <w:hideMark/>
          </w:tcPr>
          <w:p w14:paraId="4A031F40"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MGOR</w:t>
            </w:r>
            <w:r w:rsidRPr="007C5C92">
              <w:rPr>
                <w:rFonts w:eastAsia="Times New Roman" w:cs="Times New Roman"/>
                <w:color w:val="000000"/>
                <w:sz w:val="20"/>
                <w:szCs w:val="20"/>
              </w:rPr>
              <w:t xml:space="preserve"> (logit)</w:t>
            </w:r>
          </w:p>
        </w:tc>
      </w:tr>
      <w:tr w:rsidR="00D665BB" w:rsidRPr="007C5C92" w14:paraId="7F82776F"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53F19567"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noProof/>
                <w:color w:val="000000"/>
                <w:sz w:val="20"/>
                <w:szCs w:val="20"/>
              </w:rPr>
              <w:fldChar w:fldCharType="begin" w:fldLock="1"/>
            </w:r>
            <w:r w:rsidRPr="007C5C92">
              <w:rPr>
                <w:rFonts w:eastAsia="Times New Roman" w:cs="Times New Roman"/>
                <w:noProof/>
                <w:color w:val="000000"/>
                <w:sz w:val="20"/>
                <w:szCs w:val="20"/>
              </w:rPr>
              <w:instrText>ADDIN CSL_CITATION {"citationItems":[{"id":"ITEM-1","itemData":{"DOI":"10.1007/s10389-019-01135-8","ISBN":"1038901901","ISSN":"16132238","abstract":"Aim: Road traffic crashes remain a major public health issue and have been the subject of debate in many studies due to their effect on society. This study contributes to the discussion by investigating the risk factors that significantly contribute to driver injury severity sustained in traffic crashes. Subject and methods: Using the crash data from the Greater Accra region of Ghana, spanning a 3-year period (2014–2016), a generalized ordered logit (GOL) model was estimated to determine the effect of a wide range of variables on driver injury severity outcome. Results: The results suggest that, in the event of a crash, more severe driver injury was influenced by multiple factors including driver’s gender, driver’s action (e.g., turning, overtaking, going ahead), number of vehicles involved, day of week of the crash, vehicle size, and road width. Conclusion: The findings of this study highlight the need to further study risk factors significantly influencing driver injury severity.","author":[{"dropping-particle":"","family":"Aidoo","given":"Eric Nimako","non-dropping-particle":"","parse-names":false,"suffix":""},{"dropping-particle":"","family":"Ackaah","given":"Williams","non-dropping-particle":"","parse-names":false,"suffix":""}],"container-title":"Journal of Public Health (Germany)","id":"ITEM-1","issue":"2","issued":{"date-parts":[["2021"]]},"page":"471-477","publisher":"Journal of Public Health","title":"A generalized ordered logit analysis of risk factors associated with driver injury severity","type":"article-journal","volume":"29"},"uris":["http://www.mendeley.com/documents/?uuid=9d77d1f3-03a1-4e49-839b-d7b49b5931f2"]}],"mendeley":{"formattedCitation":"(Aidoo and Ackaah 2021)","manualFormatting":"Aidoo and Ackaah 2021","plainTextFormattedCitation":"(Aidoo and Ackaah 2021)","previouslyFormattedCitation":"(Aidoo and Ackaah 2021)"},"properties":{"noteIndex":0},"schema":"https://github.com/citation-style-language/schema/raw/master/csl-citation.json"}</w:instrText>
            </w:r>
            <w:r w:rsidRPr="007C5C92">
              <w:rPr>
                <w:rFonts w:eastAsia="Times New Roman" w:cs="Times New Roman"/>
                <w:noProof/>
                <w:color w:val="000000"/>
                <w:sz w:val="20"/>
                <w:szCs w:val="20"/>
              </w:rPr>
              <w:fldChar w:fldCharType="separate"/>
            </w:r>
            <w:r w:rsidRPr="007C5C92">
              <w:rPr>
                <w:rFonts w:eastAsia="Times New Roman" w:cs="Times New Roman"/>
                <w:noProof/>
                <w:color w:val="000000"/>
                <w:sz w:val="20"/>
                <w:szCs w:val="20"/>
              </w:rPr>
              <w:t>Aidoo and Ackaah 2021</w:t>
            </w:r>
            <w:r w:rsidRPr="007C5C92">
              <w:rPr>
                <w:rFonts w:eastAsia="Times New Roman" w:cs="Times New Roman"/>
                <w:noProof/>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75FD7E56" w14:textId="51BBFC2D"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w:t>
            </w:r>
            <w:r w:rsidR="0052496B">
              <w:rPr>
                <w:rFonts w:eastAsia="Times New Roman" w:cs="Times New Roman"/>
                <w:color w:val="000000"/>
                <w:sz w:val="20"/>
                <w:szCs w:val="20"/>
              </w:rPr>
              <w:t>study</w:t>
            </w:r>
            <w:r w:rsidR="0052496B" w:rsidRPr="00ED7903">
              <w:rPr>
                <w:rFonts w:eastAsia="Times New Roman" w:cs="Times New Roman"/>
                <w:color w:val="000000"/>
                <w:sz w:val="20"/>
                <w:szCs w:val="20"/>
              </w:rPr>
              <w:t xml:space="preserve"> </w:t>
            </w:r>
            <w:r w:rsidRPr="00ED7903">
              <w:rPr>
                <w:rFonts w:eastAsia="Times New Roman" w:cs="Times New Roman"/>
                <w:color w:val="000000"/>
                <w:sz w:val="20"/>
                <w:szCs w:val="20"/>
              </w:rPr>
              <w:t>factor</w:t>
            </w:r>
            <w:r w:rsidR="00C1013C">
              <w:rPr>
                <w:rFonts w:eastAsia="Times New Roman" w:cs="Times New Roman"/>
                <w:color w:val="000000"/>
                <w:sz w:val="20"/>
                <w:szCs w:val="20"/>
              </w:rPr>
              <w:t>s</w:t>
            </w:r>
            <w:r w:rsidR="0052496B">
              <w:rPr>
                <w:rFonts w:eastAsia="Times New Roman" w:cs="Times New Roman"/>
                <w:color w:val="000000"/>
                <w:sz w:val="20"/>
                <w:szCs w:val="20"/>
              </w:rPr>
              <w:t>/variables</w:t>
            </w:r>
            <w:r w:rsidR="00C1013C">
              <w:rPr>
                <w:rFonts w:eastAsia="Times New Roman" w:cs="Times New Roman"/>
                <w:color w:val="000000"/>
                <w:sz w:val="20"/>
                <w:szCs w:val="20"/>
              </w:rPr>
              <w:t xml:space="preserve">influencing </w:t>
            </w:r>
            <w:r w:rsidRPr="00ED7903">
              <w:rPr>
                <w:rFonts w:eastAsia="Times New Roman" w:cs="Times New Roman"/>
                <w:color w:val="000000"/>
                <w:sz w:val="20"/>
                <w:szCs w:val="20"/>
              </w:rPr>
              <w:t>driver injury severity</w:t>
            </w:r>
          </w:p>
        </w:tc>
        <w:tc>
          <w:tcPr>
            <w:tcW w:w="2970" w:type="dxa"/>
            <w:tcBorders>
              <w:top w:val="nil"/>
              <w:left w:val="nil"/>
              <w:bottom w:val="single" w:sz="4" w:space="0" w:color="auto"/>
              <w:right w:val="single" w:sz="4" w:space="0" w:color="auto"/>
            </w:tcBorders>
            <w:noWrap/>
            <w:vAlign w:val="center"/>
            <w:hideMark/>
          </w:tcPr>
          <w:p w14:paraId="18E494FE"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National Road Traffic Accident Database (Ghana; 2014-2016)</w:t>
            </w:r>
          </w:p>
        </w:tc>
        <w:tc>
          <w:tcPr>
            <w:tcW w:w="1620" w:type="dxa"/>
            <w:tcBorders>
              <w:top w:val="nil"/>
              <w:left w:val="nil"/>
              <w:bottom w:val="single" w:sz="4" w:space="0" w:color="auto"/>
              <w:right w:val="single" w:sz="4" w:space="0" w:color="auto"/>
            </w:tcBorders>
            <w:noWrap/>
            <w:vAlign w:val="center"/>
            <w:hideMark/>
          </w:tcPr>
          <w:p w14:paraId="14348F8B"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(3)</w:t>
            </w:r>
          </w:p>
        </w:tc>
        <w:tc>
          <w:tcPr>
            <w:tcW w:w="2250" w:type="dxa"/>
            <w:tcBorders>
              <w:top w:val="single" w:sz="4" w:space="0" w:color="auto"/>
              <w:left w:val="nil"/>
              <w:bottom w:val="single" w:sz="4" w:space="0" w:color="auto"/>
              <w:right w:val="single" w:sz="4" w:space="0" w:color="auto"/>
            </w:tcBorders>
            <w:vAlign w:val="center"/>
          </w:tcPr>
          <w:p w14:paraId="3F7394F9" w14:textId="77777777" w:rsidR="00D665BB" w:rsidRPr="00475F17" w:rsidRDefault="00D665BB" w:rsidP="00B40864">
            <w:pPr>
              <w:spacing w:after="0"/>
              <w:rPr>
                <w:rFonts w:eastAsia="Times New Roman" w:cs="Times New Roman"/>
                <w:color w:val="000000"/>
                <w:sz w:val="20"/>
                <w:szCs w:val="20"/>
              </w:rPr>
            </w:pPr>
            <w:r w:rsidRPr="00475F17">
              <w:rPr>
                <w:sz w:val="20"/>
                <w:szCs w:val="20"/>
              </w:rPr>
              <w:t>No injury, minor and fatal or seriously injured</w:t>
            </w:r>
          </w:p>
        </w:tc>
        <w:tc>
          <w:tcPr>
            <w:tcW w:w="1350" w:type="dxa"/>
            <w:tcBorders>
              <w:top w:val="nil"/>
              <w:left w:val="single" w:sz="4" w:space="0" w:color="auto"/>
              <w:bottom w:val="single" w:sz="4" w:space="0" w:color="auto"/>
              <w:right w:val="single" w:sz="4" w:space="0" w:color="auto"/>
            </w:tcBorders>
            <w:noWrap/>
            <w:vAlign w:val="center"/>
            <w:hideMark/>
          </w:tcPr>
          <w:p w14:paraId="5026E741"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PPO</w:t>
            </w:r>
            <w:r w:rsidRPr="007C5C92">
              <w:rPr>
                <w:rFonts w:eastAsia="Times New Roman" w:cs="Times New Roman"/>
                <w:color w:val="000000"/>
                <w:sz w:val="20"/>
                <w:szCs w:val="20"/>
              </w:rPr>
              <w:t xml:space="preserve"> (logit)</w:t>
            </w:r>
          </w:p>
        </w:tc>
      </w:tr>
      <w:tr w:rsidR="00D665BB" w:rsidRPr="007C5C92" w14:paraId="124CA423"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tcPr>
          <w:p w14:paraId="4B2CE0D3" w14:textId="77777777" w:rsidR="00D665BB" w:rsidRPr="007C5C92" w:rsidRDefault="00D665BB" w:rsidP="000E4F21">
            <w:pPr>
              <w:spacing w:after="0"/>
              <w:rPr>
                <w:rFonts w:eastAsia="Times New Roman" w:cs="Times New Roman"/>
                <w:noProof/>
                <w:color w:val="000000"/>
                <w:sz w:val="20"/>
                <w:szCs w:val="20"/>
              </w:rPr>
            </w:pPr>
            <w:r>
              <w:rPr>
                <w:rFonts w:eastAsia="Times New Roman" w:cs="Times New Roman"/>
                <w:noProof/>
                <w:color w:val="000000"/>
                <w:sz w:val="20"/>
                <w:szCs w:val="20"/>
              </w:rPr>
              <w:fldChar w:fldCharType="begin" w:fldLock="1"/>
            </w:r>
            <w:r>
              <w:rPr>
                <w:rFonts w:eastAsia="Times New Roman" w:cs="Times New Roman"/>
                <w:noProof/>
                <w:color w:val="000000"/>
                <w:sz w:val="20"/>
                <w:szCs w:val="20"/>
              </w:rPr>
              <w:instrText>ADDIN CSL_CITATION {"citationItems":[{"id":"ITEM-1","itemData":{"DOI":"10.3141/2318-11","ISSN":"03611981","abstract":"Emergency vehicles (EVs) are used to provide essential services to society in the event of an emergency. Hence, crashes involving these vehicles are a concern, and investigating crash characteristics of EVs is the first step toward improving their safety. In particular, the contribution of any improper driver behavior or actions must be identified before (a) a program of behavior modification is recommended to authorities or (b) countermeasures are implemented to improve road safety, or both. This study attempts to identify the driver actions that contribute significantly to the severity of a crash involving at least one EV by using data from the Province of Alberta, Canada, for the period from 1999 to 2008. In addition, the impact of control variables formed from demographic, vehicle, environmental, and behavioral factors will also be explored. The results indicate that drivers' violations of the road rules significantly contributed to increasing the severity of crashes. Non-EV drivers' errors, nonrepairable damage to the vehicle, collision of an EV with a two-wheeler, and sun glare were some of the other variables that had significant influence on crash severity.","author":[{"dropping-particle":"","family":"Yasmin","given":"Shamsunnahar","non-dropping-particle":"","parse-names":false,"suffix":""},{"dropping-particle":"","family":"Anowar","given":"Sabreena","non-dropping-particle":"","parse-names":false,"suffix":""},{"dropping-particle":"","family":"Tay","given":"Richard","non-dropping-particle":"","parse-names":false,"suffix":""}],"container-title":"Transportation Research Record","id":"ITEM-1","issue":"2318","issued":{"date-parts":[["2012"]]},"page":"90-97","title":"Effects of drivers' actions on severity of emergency vehicle collisions","type":"article-journal","volume":"1"},"uris":["http://www.mendeley.com/documents/?uuid=f108abc7-e2fa-43aa-a00d-5bc6add305a0"]}],"mendeley":{"formattedCitation":"(Yasmin et al. 2012)","manualFormatting":"Yasmin et al. 2012","plainTextFormattedCitation":"(Yasmin et al. 2012)","previouslyFormattedCitation":"(Yasmin et al. 2012)"},"properties":{"noteIndex":0},"schema":"https://github.com/citation-style-language/schema/raw/master/csl-citation.json"}</w:instrText>
            </w:r>
            <w:r>
              <w:rPr>
                <w:rFonts w:eastAsia="Times New Roman" w:cs="Times New Roman"/>
                <w:noProof/>
                <w:color w:val="000000"/>
                <w:sz w:val="20"/>
                <w:szCs w:val="20"/>
              </w:rPr>
              <w:fldChar w:fldCharType="separate"/>
            </w:r>
            <w:r w:rsidRPr="00E15FE9">
              <w:rPr>
                <w:rFonts w:eastAsia="Times New Roman" w:cs="Times New Roman"/>
                <w:noProof/>
                <w:color w:val="000000"/>
                <w:sz w:val="20"/>
                <w:szCs w:val="20"/>
              </w:rPr>
              <w:t>Yasmin et al. 2012</w:t>
            </w:r>
            <w:r>
              <w:rPr>
                <w:rFonts w:eastAsia="Times New Roman" w:cs="Times New Roman"/>
                <w:noProof/>
                <w:color w:val="000000"/>
                <w:sz w:val="20"/>
                <w:szCs w:val="20"/>
              </w:rPr>
              <w:fldChar w:fldCharType="end"/>
            </w:r>
          </w:p>
        </w:tc>
        <w:tc>
          <w:tcPr>
            <w:tcW w:w="3240" w:type="dxa"/>
            <w:tcBorders>
              <w:top w:val="nil"/>
              <w:left w:val="nil"/>
              <w:bottom w:val="single" w:sz="4" w:space="0" w:color="auto"/>
              <w:right w:val="single" w:sz="4" w:space="0" w:color="auto"/>
            </w:tcBorders>
            <w:noWrap/>
            <w:vAlign w:val="center"/>
          </w:tcPr>
          <w:p w14:paraId="13B9D01A"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 xml:space="preserve">To study the factors </w:t>
            </w:r>
            <w:r w:rsidRPr="000651EA">
              <w:rPr>
                <w:rFonts w:eastAsia="Times New Roman" w:cs="Times New Roman"/>
                <w:color w:val="000000"/>
                <w:sz w:val="20"/>
                <w:szCs w:val="20"/>
              </w:rPr>
              <w:t>the severity of a crash involving</w:t>
            </w:r>
            <w:r>
              <w:rPr>
                <w:rFonts w:eastAsia="Times New Roman" w:cs="Times New Roman"/>
                <w:color w:val="000000"/>
                <w:sz w:val="20"/>
                <w:szCs w:val="20"/>
              </w:rPr>
              <w:t xml:space="preserve"> emergency vehicles</w:t>
            </w:r>
          </w:p>
        </w:tc>
        <w:tc>
          <w:tcPr>
            <w:tcW w:w="2970" w:type="dxa"/>
            <w:tcBorders>
              <w:top w:val="nil"/>
              <w:left w:val="nil"/>
              <w:bottom w:val="single" w:sz="4" w:space="0" w:color="auto"/>
              <w:right w:val="single" w:sz="4" w:space="0" w:color="auto"/>
            </w:tcBorders>
            <w:noWrap/>
            <w:vAlign w:val="center"/>
          </w:tcPr>
          <w:p w14:paraId="5A7139EE" w14:textId="77777777" w:rsidR="00D665BB" w:rsidRPr="00ED7903" w:rsidRDefault="00D665BB" w:rsidP="000E4F21">
            <w:pPr>
              <w:spacing w:after="0"/>
              <w:rPr>
                <w:rFonts w:eastAsia="Times New Roman" w:cs="Times New Roman"/>
                <w:color w:val="000000"/>
                <w:sz w:val="20"/>
                <w:szCs w:val="20"/>
              </w:rPr>
            </w:pPr>
            <w:r w:rsidRPr="000651EA">
              <w:rPr>
                <w:rFonts w:eastAsia="Times New Roman" w:cs="Times New Roman"/>
                <w:color w:val="000000"/>
                <w:sz w:val="20"/>
                <w:szCs w:val="20"/>
              </w:rPr>
              <w:t xml:space="preserve">Alberta Transportation and Infrastructure </w:t>
            </w:r>
            <w:r>
              <w:rPr>
                <w:rFonts w:eastAsia="Times New Roman" w:cs="Times New Roman"/>
                <w:color w:val="000000"/>
                <w:sz w:val="20"/>
                <w:szCs w:val="20"/>
              </w:rPr>
              <w:t>crash database (Canada; 1999-2008)</w:t>
            </w:r>
          </w:p>
        </w:tc>
        <w:tc>
          <w:tcPr>
            <w:tcW w:w="1620" w:type="dxa"/>
            <w:tcBorders>
              <w:top w:val="nil"/>
              <w:left w:val="nil"/>
              <w:bottom w:val="single" w:sz="4" w:space="0" w:color="auto"/>
              <w:right w:val="single" w:sz="4" w:space="0" w:color="auto"/>
            </w:tcBorders>
            <w:noWrap/>
            <w:vAlign w:val="center"/>
          </w:tcPr>
          <w:p w14:paraId="44C83A0D"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Injury severity (3)</w:t>
            </w:r>
          </w:p>
        </w:tc>
        <w:tc>
          <w:tcPr>
            <w:tcW w:w="2250" w:type="dxa"/>
            <w:tcBorders>
              <w:top w:val="single" w:sz="4" w:space="0" w:color="auto"/>
              <w:left w:val="nil"/>
              <w:bottom w:val="single" w:sz="4" w:space="0" w:color="auto"/>
              <w:right w:val="single" w:sz="4" w:space="0" w:color="auto"/>
            </w:tcBorders>
            <w:vAlign w:val="center"/>
          </w:tcPr>
          <w:p w14:paraId="5067CF5A" w14:textId="77777777" w:rsidR="00D665BB" w:rsidRPr="00475F17" w:rsidRDefault="00D665BB" w:rsidP="00B40864">
            <w:pPr>
              <w:spacing w:after="0"/>
              <w:rPr>
                <w:rFonts w:eastAsia="Times New Roman" w:cs="Times New Roman"/>
                <w:color w:val="000000"/>
                <w:sz w:val="20"/>
                <w:szCs w:val="20"/>
              </w:rPr>
            </w:pPr>
            <w:r w:rsidRPr="00475F17">
              <w:rPr>
                <w:sz w:val="20"/>
                <w:szCs w:val="20"/>
              </w:rPr>
              <w:t>Property damage, minor injury, and serious injury</w:t>
            </w:r>
          </w:p>
        </w:tc>
        <w:tc>
          <w:tcPr>
            <w:tcW w:w="1350" w:type="dxa"/>
            <w:tcBorders>
              <w:top w:val="nil"/>
              <w:left w:val="single" w:sz="4" w:space="0" w:color="auto"/>
              <w:bottom w:val="single" w:sz="4" w:space="0" w:color="auto"/>
              <w:right w:val="single" w:sz="4" w:space="0" w:color="auto"/>
            </w:tcBorders>
            <w:noWrap/>
            <w:vAlign w:val="center"/>
          </w:tcPr>
          <w:p w14:paraId="398A863D"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PPO (logit)</w:t>
            </w:r>
          </w:p>
        </w:tc>
      </w:tr>
      <w:tr w:rsidR="00D665BB" w:rsidRPr="007C5C92" w14:paraId="3D52D4C7"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21417B41"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noProof/>
                <w:color w:val="000000"/>
                <w:sz w:val="20"/>
                <w:szCs w:val="20"/>
              </w:rPr>
              <w:fldChar w:fldCharType="begin" w:fldLock="1"/>
            </w:r>
            <w:r w:rsidRPr="007C5C92">
              <w:rPr>
                <w:rFonts w:eastAsia="Times New Roman" w:cs="Times New Roman"/>
                <w:noProof/>
                <w:color w:val="000000"/>
                <w:sz w:val="20"/>
                <w:szCs w:val="20"/>
              </w:rPr>
              <w:instrText>ADDIN CSL_CITATION {"citationItems":[{"id":"ITEM-1","itemData":{"DOI":"10.1016/j.amar.2015.03.001","ISSN":"22136657","abstract":"Abstract In the United States, safety researchers have focused on examining fatal crashes (involving at least one fatally injured vehicle occupant) by using Fatality Analysis Reporting System (FARS) dataset. FARS database compiles crashes if at least one person involved in the crash dies within 30 consecutive days from the time of crash along with the exact timeline of the fatal occurrence. Previous studies using FARS dataset offer many useful insights on what factors affect crash related fatality, particularly in the context of fatal vs. non-fatal injury categorization. However, there is one aspect of fatal crashes that has received scarce attention in the traditional safety analysis. The studies that dichotomize crashes into fatal vs. non-fatal groups assume that all fatal crashes in the FARS dataset are similar. Keeping all else same, a fatal crash that results in an immediate fatality is clearly much more severe than another crash that leads to fatality after several days. Our study contributes to continuing research on fatal crashes. Specifically, rather than homogenizing all fatal crashes as the same, our study analyzes the fatal injury from a new perspective by examining fatality as a continuous spectrum based on survival time ranging from dying within 30 days of crash to dying instantly (as reported in the FARS data). The fatality continuum is represented as a discrete ordered dependent variable and analyzed using the mixed generalized ordered logit (MGOL) model. By doing so, we expect to provide a more accurate estimation of critical crash attributes that contribute to death. In modeling the discretized fatality timeline, the Emergency Medical Service (EMS) response time variable is an important determinant. However, it is possible that the EMS response time and fatality timeline are influenced by the same set of observed and unobserved factors, generating endogeneity in the outcome variable of interest. Hence, we propose to estimate a two equation model that comprises of a regression equation for EMS response time and MGOL for fatality continuum with residuals from the EMS model to correct for endogeneity bias on the effect of exogenous factors on the timeline of death. Such research attempts are useful in determining what factors affect the time between crash occurrence and time of death so that safety measures can be implemented to prolong survival. The model estimates are augmented by conducting elasticity analysis to highlight the importan…","author":[{"dropping-particle":"","family":"Yasmin","given":"Shamsunnahar","non-dropping-particle":"","parse-names":false,"suffix":""},{"dropping-particle":"","family":"Eluru","given":"Naveen","non-dropping-particle":"","parse-names":false,"suffix":""},{"dropping-particle":"","family":"Pinjari","given":"Abdul R.","non-dropping-particle":"","parse-names":false,"suffix":""}],"container-title":"Analytic Methods in Accident Research","id":"ITEM-1","issued":{"date-parts":[["2015"]]},"page":"1-15","publisher":"Elsevier","title":"Analyzing the continuum of fatal crashes: A generalized ordered approach","type":"article-journal","volume":"7"},"uris":["http://www.mendeley.com/documents/?uuid=ccbe71dd-2894-415b-9701-748f39afc609"]}],"mendeley":{"formattedCitation":"(Yasmin et al. 2015)","manualFormatting":"Yasmin et al. 2015","plainTextFormattedCitation":"(Yasmin et al. 2015)","previouslyFormattedCitation":"(Yasmin et al. 2015)"},"properties":{"noteIndex":0},"schema":"https://github.com/citation-style-language/schema/raw/master/csl-citation.json"}</w:instrText>
            </w:r>
            <w:r w:rsidRPr="007C5C92">
              <w:rPr>
                <w:rFonts w:eastAsia="Times New Roman" w:cs="Times New Roman"/>
                <w:noProof/>
                <w:color w:val="000000"/>
                <w:sz w:val="20"/>
                <w:szCs w:val="20"/>
              </w:rPr>
              <w:fldChar w:fldCharType="separate"/>
            </w:r>
            <w:r w:rsidRPr="007C5C92">
              <w:rPr>
                <w:rFonts w:eastAsia="Times New Roman" w:cs="Times New Roman"/>
                <w:noProof/>
                <w:color w:val="000000"/>
                <w:sz w:val="20"/>
                <w:szCs w:val="20"/>
              </w:rPr>
              <w:t>Yasmin et al. 2015</w:t>
            </w:r>
            <w:r w:rsidRPr="007C5C92">
              <w:rPr>
                <w:rFonts w:eastAsia="Times New Roman" w:cs="Times New Roman"/>
                <w:noProof/>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68222A5A" w14:textId="33C6228A"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identify the </w:t>
            </w:r>
            <w:r w:rsidR="00800212">
              <w:rPr>
                <w:rFonts w:eastAsia="Times New Roman" w:cs="Times New Roman"/>
                <w:color w:val="000000"/>
                <w:sz w:val="20"/>
                <w:szCs w:val="20"/>
              </w:rPr>
              <w:t>various</w:t>
            </w:r>
            <w:r w:rsidR="00800212" w:rsidRPr="00ED7903">
              <w:rPr>
                <w:rFonts w:eastAsia="Times New Roman" w:cs="Times New Roman"/>
                <w:color w:val="000000"/>
                <w:sz w:val="20"/>
                <w:szCs w:val="20"/>
              </w:rPr>
              <w:t xml:space="preserve"> </w:t>
            </w:r>
            <w:r w:rsidRPr="00ED7903">
              <w:rPr>
                <w:rFonts w:eastAsia="Times New Roman" w:cs="Times New Roman"/>
                <w:color w:val="000000"/>
                <w:sz w:val="20"/>
                <w:szCs w:val="20"/>
              </w:rPr>
              <w:t xml:space="preserve">risk factors </w:t>
            </w:r>
            <w:r w:rsidR="00C1013C">
              <w:rPr>
                <w:rFonts w:eastAsia="Times New Roman" w:cs="Times New Roman"/>
                <w:color w:val="000000"/>
                <w:sz w:val="20"/>
                <w:szCs w:val="20"/>
              </w:rPr>
              <w:t>for</w:t>
            </w:r>
            <w:r w:rsidR="00C1013C" w:rsidRPr="00ED7903">
              <w:rPr>
                <w:rFonts w:eastAsia="Times New Roman" w:cs="Times New Roman"/>
                <w:color w:val="000000"/>
                <w:sz w:val="20"/>
                <w:szCs w:val="20"/>
              </w:rPr>
              <w:t xml:space="preserve"> </w:t>
            </w:r>
            <w:r w:rsidRPr="00ED7903">
              <w:rPr>
                <w:rFonts w:eastAsia="Times New Roman" w:cs="Times New Roman"/>
                <w:color w:val="000000"/>
                <w:sz w:val="20"/>
                <w:szCs w:val="20"/>
              </w:rPr>
              <w:t>driver fatalities</w:t>
            </w:r>
          </w:p>
        </w:tc>
        <w:tc>
          <w:tcPr>
            <w:tcW w:w="2970" w:type="dxa"/>
            <w:tcBorders>
              <w:top w:val="nil"/>
              <w:left w:val="nil"/>
              <w:bottom w:val="single" w:sz="4" w:space="0" w:color="auto"/>
              <w:right w:val="single" w:sz="4" w:space="0" w:color="auto"/>
            </w:tcBorders>
            <w:noWrap/>
            <w:vAlign w:val="center"/>
            <w:hideMark/>
          </w:tcPr>
          <w:p w14:paraId="01BFB250" w14:textId="561BBEB8"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Fatality Analysis Reporting System dataset</w:t>
            </w:r>
            <w:r w:rsidR="00131130">
              <w:rPr>
                <w:rFonts w:eastAsia="Times New Roman" w:cs="Times New Roman"/>
                <w:color w:val="000000"/>
                <w:sz w:val="20"/>
                <w:szCs w:val="20"/>
              </w:rPr>
              <w:t xml:space="preserve"> (US; 2010)</w:t>
            </w:r>
          </w:p>
        </w:tc>
        <w:tc>
          <w:tcPr>
            <w:tcW w:w="1620" w:type="dxa"/>
            <w:tcBorders>
              <w:top w:val="nil"/>
              <w:left w:val="nil"/>
              <w:bottom w:val="single" w:sz="4" w:space="0" w:color="auto"/>
              <w:right w:val="single" w:sz="4" w:space="0" w:color="auto"/>
            </w:tcBorders>
            <w:noWrap/>
            <w:vAlign w:val="center"/>
            <w:hideMark/>
          </w:tcPr>
          <w:p w14:paraId="322864F4" w14:textId="47C8B875" w:rsidR="00D665BB" w:rsidRPr="00ED7903" w:rsidRDefault="009B4E85" w:rsidP="000E4F21">
            <w:pPr>
              <w:spacing w:after="0"/>
              <w:rPr>
                <w:rFonts w:eastAsia="Times New Roman" w:cs="Times New Roman"/>
                <w:color w:val="000000"/>
                <w:sz w:val="20"/>
                <w:szCs w:val="20"/>
              </w:rPr>
            </w:pPr>
            <w:r w:rsidRPr="00475F17">
              <w:rPr>
                <w:sz w:val="20"/>
                <w:szCs w:val="20"/>
              </w:rPr>
              <w:t xml:space="preserve">Fatality timeline </w:t>
            </w:r>
            <w:r w:rsidR="00D665BB" w:rsidRPr="00ED7903">
              <w:rPr>
                <w:rFonts w:eastAsia="Times New Roman" w:cs="Times New Roman"/>
                <w:color w:val="000000"/>
                <w:sz w:val="20"/>
                <w:szCs w:val="20"/>
              </w:rPr>
              <w:t>(7)</w:t>
            </w:r>
          </w:p>
        </w:tc>
        <w:tc>
          <w:tcPr>
            <w:tcW w:w="2250" w:type="dxa"/>
            <w:tcBorders>
              <w:top w:val="single" w:sz="4" w:space="0" w:color="auto"/>
              <w:left w:val="nil"/>
              <w:bottom w:val="single" w:sz="4" w:space="0" w:color="auto"/>
              <w:right w:val="single" w:sz="4" w:space="0" w:color="auto"/>
            </w:tcBorders>
            <w:vAlign w:val="center"/>
          </w:tcPr>
          <w:p w14:paraId="52B5BFD4" w14:textId="73CF524D" w:rsidR="00D665BB" w:rsidRPr="00475F17" w:rsidRDefault="00D665BB" w:rsidP="00B40864">
            <w:pPr>
              <w:spacing w:after="0"/>
              <w:rPr>
                <w:rFonts w:eastAsia="Times New Roman" w:cs="Times New Roman"/>
                <w:color w:val="000000"/>
                <w:sz w:val="20"/>
                <w:szCs w:val="20"/>
              </w:rPr>
            </w:pPr>
            <w:r w:rsidRPr="00475F17">
              <w:rPr>
                <w:sz w:val="20"/>
                <w:szCs w:val="20"/>
              </w:rPr>
              <w:t>6-30 days, 2-5 days and so on</w:t>
            </w:r>
          </w:p>
        </w:tc>
        <w:tc>
          <w:tcPr>
            <w:tcW w:w="1350" w:type="dxa"/>
            <w:tcBorders>
              <w:top w:val="nil"/>
              <w:left w:val="single" w:sz="4" w:space="0" w:color="auto"/>
              <w:bottom w:val="single" w:sz="4" w:space="0" w:color="auto"/>
              <w:right w:val="single" w:sz="4" w:space="0" w:color="auto"/>
            </w:tcBorders>
            <w:noWrap/>
            <w:vAlign w:val="center"/>
            <w:hideMark/>
          </w:tcPr>
          <w:p w14:paraId="218D1B08"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MGOR</w:t>
            </w:r>
            <w:r w:rsidRPr="007C5C92">
              <w:rPr>
                <w:rFonts w:eastAsia="Times New Roman" w:cs="Times New Roman"/>
                <w:color w:val="000000"/>
                <w:sz w:val="20"/>
                <w:szCs w:val="20"/>
              </w:rPr>
              <w:t xml:space="preserve"> (logit)</w:t>
            </w:r>
          </w:p>
        </w:tc>
      </w:tr>
      <w:tr w:rsidR="00D665BB" w:rsidRPr="007C5C92" w14:paraId="255A533A"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2DB9AC16"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noProof/>
                <w:color w:val="000000"/>
                <w:sz w:val="20"/>
                <w:szCs w:val="20"/>
              </w:rPr>
              <w:fldChar w:fldCharType="begin" w:fldLock="1"/>
            </w:r>
            <w:r w:rsidRPr="007C5C92">
              <w:rPr>
                <w:rFonts w:eastAsia="Times New Roman" w:cs="Times New Roman"/>
                <w:noProof/>
                <w:color w:val="000000"/>
                <w:sz w:val="20"/>
                <w:szCs w:val="20"/>
              </w:rPr>
              <w:instrText>ADDIN CSL_CITATION {"citationItems":[{"id":"ITEM-1","itemData":{"DOI":"10.1016/j.amar.2018.09.003","ISSN":"22136657","abstract":"Mixed Generalized Ordered Response (MGOR) models, that allow random heterogeneity in thresholds, are widely used to model ordered outcomes such as accident injury severity. This study highlights a potential limitation of these models, as applied in most empirical research, that the variances of the random thresholds are implicitly assumed to be in a non-decreasing order. This restriction is unnecessary and can lead to difficulty in estimation of random parameters in higher order thresholds. In this study, we investigate the use of negative correlations between random parameters as a variance reduction technique to relax the property of non-decreasing variances of thresholds in MGOR models. To this end, a simulation-based approach was used (where multiple datasets were simulated assuming a known negative correlation structure between the true parameters), and two models were estimated on each dataset – one allowing correlations between random parameters and the other not allowing such correlations. Allowing negative correlations helped relax the non-decreasing variance property of MGOR models. However, maximum simulated likelihood estimation of parameters on data with correlations occasionally encountered model convergence and parameter identification issues. Comparison of the models that did converge suggests that ignoring correlations leads to an estimation of fewer random parameters in the higher order thresholds and results in bias and/or loss of precision for a few parameter estimates. However, ignoring correlations leads to an adjustment of other parameter estimates such that overall likelihood values, predicted percentage shares, and the marginal effects are similar to those from the models with correlations.","author":[{"dropping-particle":"","family":"Balusu","given":"Suryaprasanna Kumar","non-dropping-particle":"","parse-names":false,"suffix":""},{"dropping-particle":"","family":"Pinjari","given":"Abdul Rawoof","non-dropping-particle":"","parse-names":false,"suffix":""},{"dropping-particle":"","family":"Mannering","given":"Fred L.","non-dropping-particle":"","parse-names":false,"suffix":""},{"dropping-particle":"","family":"Eluru","given":"Naveen","non-dropping-particle":"","parse-names":false,"suffix":""}],"container-title":"Analytic Methods in Accident Research","id":"ITEM-1","issue":"October","issued":{"date-parts":[["2018"]]},"page":"46-67","publisher":"Elsevier Ltd","title":"Non-decreasing threshold variances in mixed generalized ordered response models: A negative correlations approach to variance reduction","type":"article-journal","volume":"20"},"uris":["http://www.mendeley.com/documents/?uuid=71f76f0f-561f-4dff-ab0b-6f38eceace0c"]}],"mendeley":{"formattedCitation":"(Balusu et al. 2018)","manualFormatting":"Balusu et al. 2018","plainTextFormattedCitation":"(Balusu et al. 2018)","previouslyFormattedCitation":"(Balusu et al. 2018)"},"properties":{"noteIndex":0},"schema":"https://github.com/citation-style-language/schema/raw/master/csl-citation.json"}</w:instrText>
            </w:r>
            <w:r w:rsidRPr="007C5C92">
              <w:rPr>
                <w:rFonts w:eastAsia="Times New Roman" w:cs="Times New Roman"/>
                <w:noProof/>
                <w:color w:val="000000"/>
                <w:sz w:val="20"/>
                <w:szCs w:val="20"/>
              </w:rPr>
              <w:fldChar w:fldCharType="separate"/>
            </w:r>
            <w:r w:rsidRPr="007C5C92">
              <w:rPr>
                <w:rFonts w:eastAsia="Times New Roman" w:cs="Times New Roman"/>
                <w:noProof/>
                <w:color w:val="000000"/>
                <w:sz w:val="20"/>
                <w:szCs w:val="20"/>
              </w:rPr>
              <w:t>Balusu et al. 2018</w:t>
            </w:r>
            <w:r w:rsidRPr="007C5C92">
              <w:rPr>
                <w:rFonts w:eastAsia="Times New Roman" w:cs="Times New Roman"/>
                <w:noProof/>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470BA102" w14:textId="04A4D45F"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To discuss potential limitation</w:t>
            </w:r>
            <w:r w:rsidR="00C1013C">
              <w:rPr>
                <w:rFonts w:eastAsia="Times New Roman" w:cs="Times New Roman"/>
                <w:color w:val="000000"/>
                <w:sz w:val="20"/>
                <w:szCs w:val="20"/>
              </w:rPr>
              <w:t>s</w:t>
            </w:r>
            <w:r w:rsidRPr="00ED7903">
              <w:rPr>
                <w:rFonts w:eastAsia="Times New Roman" w:cs="Times New Roman"/>
                <w:color w:val="000000"/>
                <w:sz w:val="20"/>
                <w:szCs w:val="20"/>
              </w:rPr>
              <w:t xml:space="preserve"> of </w:t>
            </w:r>
            <w:r w:rsidR="00C1013C">
              <w:rPr>
                <w:rFonts w:eastAsia="Times New Roman" w:cs="Times New Roman"/>
                <w:color w:val="000000"/>
                <w:sz w:val="20"/>
                <w:szCs w:val="20"/>
              </w:rPr>
              <w:t xml:space="preserve">the </w:t>
            </w:r>
            <w:r w:rsidRPr="00ED7903">
              <w:rPr>
                <w:rFonts w:eastAsia="Times New Roman" w:cs="Times New Roman"/>
                <w:color w:val="000000"/>
                <w:sz w:val="20"/>
                <w:szCs w:val="20"/>
              </w:rPr>
              <w:t>MGOR model</w:t>
            </w:r>
          </w:p>
        </w:tc>
        <w:tc>
          <w:tcPr>
            <w:tcW w:w="2970" w:type="dxa"/>
            <w:tcBorders>
              <w:top w:val="nil"/>
              <w:left w:val="nil"/>
              <w:bottom w:val="single" w:sz="4" w:space="0" w:color="auto"/>
              <w:right w:val="single" w:sz="4" w:space="0" w:color="auto"/>
            </w:tcBorders>
            <w:noWrap/>
            <w:vAlign w:val="center"/>
            <w:hideMark/>
          </w:tcPr>
          <w:p w14:paraId="242C9B7A"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Simulated data</w:t>
            </w:r>
          </w:p>
        </w:tc>
        <w:tc>
          <w:tcPr>
            <w:tcW w:w="1620" w:type="dxa"/>
            <w:tcBorders>
              <w:top w:val="nil"/>
              <w:left w:val="nil"/>
              <w:bottom w:val="single" w:sz="4" w:space="0" w:color="auto"/>
              <w:right w:val="single" w:sz="4" w:space="0" w:color="auto"/>
            </w:tcBorders>
            <w:noWrap/>
            <w:vAlign w:val="center"/>
            <w:hideMark/>
          </w:tcPr>
          <w:p w14:paraId="5E555150"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(4)</w:t>
            </w:r>
          </w:p>
        </w:tc>
        <w:tc>
          <w:tcPr>
            <w:tcW w:w="2250" w:type="dxa"/>
            <w:tcBorders>
              <w:top w:val="single" w:sz="4" w:space="0" w:color="auto"/>
              <w:left w:val="nil"/>
              <w:bottom w:val="single" w:sz="4" w:space="0" w:color="auto"/>
              <w:right w:val="single" w:sz="4" w:space="0" w:color="auto"/>
            </w:tcBorders>
            <w:vAlign w:val="center"/>
          </w:tcPr>
          <w:p w14:paraId="0A1D5A89" w14:textId="77777777" w:rsidR="00D665BB" w:rsidRPr="00475F17" w:rsidRDefault="00D665BB" w:rsidP="00B40864">
            <w:pPr>
              <w:spacing w:after="0"/>
              <w:rPr>
                <w:rFonts w:eastAsia="Times New Roman" w:cs="Times New Roman"/>
                <w:color w:val="000000"/>
                <w:sz w:val="20"/>
                <w:szCs w:val="20"/>
              </w:rPr>
            </w:pPr>
            <w:r w:rsidRPr="00475F17">
              <w:rPr>
                <w:sz w:val="20"/>
                <w:szCs w:val="20"/>
              </w:rPr>
              <w:t>No injury, non-incapacitating, incapacitating and fatal injury</w:t>
            </w:r>
          </w:p>
        </w:tc>
        <w:tc>
          <w:tcPr>
            <w:tcW w:w="1350" w:type="dxa"/>
            <w:tcBorders>
              <w:top w:val="nil"/>
              <w:left w:val="single" w:sz="4" w:space="0" w:color="auto"/>
              <w:bottom w:val="single" w:sz="4" w:space="0" w:color="auto"/>
              <w:right w:val="single" w:sz="4" w:space="0" w:color="auto"/>
            </w:tcBorders>
            <w:noWrap/>
            <w:vAlign w:val="center"/>
            <w:hideMark/>
          </w:tcPr>
          <w:p w14:paraId="2326DF89"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MGOR</w:t>
            </w:r>
            <w:r w:rsidRPr="007C5C92">
              <w:rPr>
                <w:rFonts w:eastAsia="Times New Roman" w:cs="Times New Roman"/>
                <w:color w:val="000000"/>
                <w:sz w:val="20"/>
                <w:szCs w:val="20"/>
              </w:rPr>
              <w:t xml:space="preserve"> (logit)</w:t>
            </w:r>
          </w:p>
        </w:tc>
      </w:tr>
      <w:tr w:rsidR="00D665BB" w:rsidRPr="007C5C92" w14:paraId="017B25CF"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tcPr>
          <w:p w14:paraId="1537A45A" w14:textId="13843669" w:rsidR="00D665BB" w:rsidRPr="007C5C92" w:rsidRDefault="00D665BB" w:rsidP="000E4F21">
            <w:pPr>
              <w:spacing w:after="0"/>
              <w:rPr>
                <w:rFonts w:eastAsia="Times New Roman" w:cs="Times New Roman"/>
                <w:noProof/>
                <w:color w:val="000000"/>
                <w:sz w:val="20"/>
                <w:szCs w:val="20"/>
              </w:rPr>
            </w:pPr>
            <w:r>
              <w:rPr>
                <w:rFonts w:eastAsia="Times New Roman" w:cs="Times New Roman"/>
                <w:noProof/>
                <w:color w:val="000000"/>
                <w:sz w:val="20"/>
                <w:szCs w:val="20"/>
              </w:rPr>
              <w:fldChar w:fldCharType="begin" w:fldLock="1"/>
            </w:r>
            <w:r>
              <w:rPr>
                <w:rFonts w:eastAsia="Times New Roman" w:cs="Times New Roman"/>
                <w:noProof/>
                <w:color w:val="000000"/>
                <w:sz w:val="20"/>
                <w:szCs w:val="20"/>
              </w:rPr>
              <w:instrText>ADDIN CSL_CITATION {"citationItems":[{"id":"ITEM-1","itemData":{"DOI":"10.1016/j.ssci.2021.105545","ISSN":"18791042","abstract":"Electric bike (E-bike) fatal crashes have increased by 34% during the period between 2014 and 2016, raising a great challenge for traffic safety in China. This study examines the effects of road traffic characteristics, environmental factors, crash characteristics and rider demographic factors on e-bike riders' injury severity. A total of 2222 police-reported crash records of e-bike riders in a representative developing area in China-Hunan province from 2014 to 2016 is used for the current study. To account for the ordinal nature of crash severity and to incorporate unobserved heterogeneity at the observation level, a random parameters generalized ordered probit model with heterogeneity in means (RGOP-HM) is applied for the injury severity analysis. For examining the efficiency of the proposed model in modeling e-bike rider injury severity, ordered probit models, random parameters ordered probit models, random parameters generalized ordered probit models were also estimated. The superiority of RGOP-HM in terms of model fitness statistics indicates the importance of relaxing the limitations of traditional ordinal probability methods. The results of RGOP-HM revealed a wide range of factors associated with the e-bike injuries, including horizontal curves, roads with a high posted speed limit, traffic sign-controlled intersections, dim light, unlighted darkness, single-vehicle crashes, collisions with a heavy motorized vehicle, rider age over 44 (45–59, above 59), and rural areas. Based on the factors contributing to the increased injury severity, several safety implications are proposed from the perspective of engineering, education, and enforcement (3E). This study's findings could provide references for the development of targeted countermeasures to improve e-bike traffic safety in China.","author":[{"dropping-particle":"","family":"Chang","given":"Fangrong","non-dropping-particle":"","parse-names":false,"suffix":""},{"dropping-particle":"","family":"Haque","given":"Md Mazharul","non-dropping-particle":"","parse-names":false,"suffix":""},{"dropping-particle":"","family":"Yasmin","given":"Shamsunnahar","non-dropping-particle":"","parse-names":false,"suffix":""},{"dropping-particle":"","family":"Huang","given":"Helai","non-dropping-particle":"","parse-names":false,"suffix":""}],"container-title":"Safety Science","id":"ITEM-1","issue":"April 2021","issued":{"date-parts":[["2022"]]},"page":"105545","publisher":"Elsevier Ltd","title":"Crash injury severity analysis of E-Bike Riders: A random parameters generalized ordered probit model with heterogeneity in means","type":"article-journal","volume":"146"},"uris":["http://www.mendeley.com/documents/?uuid=d1dc04a7-8561-4ef2-8285-b171222bb734"]}],"mendeley":{"formattedCitation":"(Chang et al. 2022)","manualFormatting":"Chang et al. 2022","plainTextFormattedCitation":"(Chang et al. 2022)","previouslyFormattedCitation":"(Chang et al. 2022)"},"properties":{"noteIndex":0},"schema":"https://github.com/citation-style-language/schema/raw/master/csl-citation.json"}</w:instrText>
            </w:r>
            <w:r>
              <w:rPr>
                <w:rFonts w:eastAsia="Times New Roman" w:cs="Times New Roman"/>
                <w:noProof/>
                <w:color w:val="000000"/>
                <w:sz w:val="20"/>
                <w:szCs w:val="20"/>
              </w:rPr>
              <w:fldChar w:fldCharType="separate"/>
            </w:r>
            <w:r w:rsidRPr="0027652B">
              <w:rPr>
                <w:rFonts w:eastAsia="Times New Roman" w:cs="Times New Roman"/>
                <w:noProof/>
                <w:color w:val="000000"/>
                <w:sz w:val="20"/>
                <w:szCs w:val="20"/>
              </w:rPr>
              <w:t>Chang et al. 2022</w:t>
            </w:r>
            <w:r>
              <w:rPr>
                <w:rFonts w:eastAsia="Times New Roman" w:cs="Times New Roman"/>
                <w:noProof/>
                <w:color w:val="000000"/>
                <w:sz w:val="20"/>
                <w:szCs w:val="20"/>
              </w:rPr>
              <w:fldChar w:fldCharType="end"/>
            </w:r>
          </w:p>
        </w:tc>
        <w:tc>
          <w:tcPr>
            <w:tcW w:w="3240" w:type="dxa"/>
            <w:tcBorders>
              <w:top w:val="nil"/>
              <w:left w:val="nil"/>
              <w:bottom w:val="single" w:sz="4" w:space="0" w:color="auto"/>
              <w:right w:val="single" w:sz="4" w:space="0" w:color="auto"/>
            </w:tcBorders>
            <w:noWrap/>
            <w:vAlign w:val="center"/>
          </w:tcPr>
          <w:p w14:paraId="12A8C0BA"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To analyze e-bike safety data</w:t>
            </w:r>
          </w:p>
        </w:tc>
        <w:tc>
          <w:tcPr>
            <w:tcW w:w="2970" w:type="dxa"/>
            <w:tcBorders>
              <w:top w:val="nil"/>
              <w:left w:val="nil"/>
              <w:bottom w:val="single" w:sz="4" w:space="0" w:color="auto"/>
              <w:right w:val="single" w:sz="4" w:space="0" w:color="auto"/>
            </w:tcBorders>
            <w:noWrap/>
            <w:vAlign w:val="center"/>
          </w:tcPr>
          <w:p w14:paraId="6EF6639A" w14:textId="77777777" w:rsidR="00D665BB" w:rsidRPr="00ED7903" w:rsidRDefault="00D665BB" w:rsidP="000E4F21">
            <w:pPr>
              <w:spacing w:after="0"/>
              <w:rPr>
                <w:rFonts w:eastAsia="Times New Roman" w:cs="Times New Roman"/>
                <w:color w:val="000000"/>
                <w:sz w:val="20"/>
                <w:szCs w:val="20"/>
              </w:rPr>
            </w:pPr>
            <w:r w:rsidRPr="0027652B">
              <w:rPr>
                <w:rFonts w:eastAsia="Times New Roman" w:cs="Times New Roman"/>
                <w:color w:val="000000"/>
                <w:sz w:val="20"/>
                <w:szCs w:val="20"/>
              </w:rPr>
              <w:t>Incident Case Data Report</w:t>
            </w:r>
            <w:r>
              <w:rPr>
                <w:rFonts w:eastAsia="Times New Roman" w:cs="Times New Roman"/>
                <w:color w:val="000000"/>
                <w:sz w:val="20"/>
                <w:szCs w:val="20"/>
              </w:rPr>
              <w:t xml:space="preserve"> (China; 2014-2016)</w:t>
            </w:r>
          </w:p>
        </w:tc>
        <w:tc>
          <w:tcPr>
            <w:tcW w:w="1620" w:type="dxa"/>
            <w:tcBorders>
              <w:top w:val="nil"/>
              <w:left w:val="nil"/>
              <w:bottom w:val="single" w:sz="4" w:space="0" w:color="auto"/>
              <w:right w:val="single" w:sz="4" w:space="0" w:color="auto"/>
            </w:tcBorders>
            <w:noWrap/>
            <w:vAlign w:val="center"/>
          </w:tcPr>
          <w:p w14:paraId="7D580872"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w:t>
            </w:r>
            <w:r>
              <w:rPr>
                <w:rFonts w:eastAsia="Times New Roman" w:cs="Times New Roman"/>
                <w:color w:val="000000"/>
                <w:sz w:val="20"/>
                <w:szCs w:val="20"/>
              </w:rPr>
              <w:t>3</w:t>
            </w:r>
            <w:r w:rsidRPr="00ED7903">
              <w:rPr>
                <w:rFonts w:eastAsia="Times New Roman" w:cs="Times New Roman"/>
                <w:color w:val="000000"/>
                <w:sz w:val="20"/>
                <w:szCs w:val="20"/>
              </w:rPr>
              <w:t>)</w:t>
            </w:r>
          </w:p>
        </w:tc>
        <w:tc>
          <w:tcPr>
            <w:tcW w:w="2250" w:type="dxa"/>
            <w:tcBorders>
              <w:top w:val="single" w:sz="4" w:space="0" w:color="auto"/>
              <w:left w:val="nil"/>
              <w:bottom w:val="single" w:sz="4" w:space="0" w:color="auto"/>
              <w:right w:val="single" w:sz="4" w:space="0" w:color="auto"/>
            </w:tcBorders>
            <w:vAlign w:val="center"/>
          </w:tcPr>
          <w:p w14:paraId="35490735" w14:textId="77777777" w:rsidR="00D665BB" w:rsidRPr="00475F17" w:rsidRDefault="00D665BB" w:rsidP="00B40864">
            <w:pPr>
              <w:spacing w:after="0"/>
              <w:rPr>
                <w:rFonts w:eastAsia="Times New Roman" w:cs="Times New Roman"/>
                <w:color w:val="000000"/>
                <w:sz w:val="20"/>
                <w:szCs w:val="20"/>
              </w:rPr>
            </w:pPr>
            <w:r w:rsidRPr="00475F17">
              <w:rPr>
                <w:sz w:val="20"/>
                <w:szCs w:val="20"/>
              </w:rPr>
              <w:t>Minor, major, and fatal injury</w:t>
            </w:r>
          </w:p>
        </w:tc>
        <w:tc>
          <w:tcPr>
            <w:tcW w:w="1350" w:type="dxa"/>
            <w:tcBorders>
              <w:top w:val="nil"/>
              <w:left w:val="single" w:sz="4" w:space="0" w:color="auto"/>
              <w:bottom w:val="single" w:sz="4" w:space="0" w:color="auto"/>
              <w:right w:val="single" w:sz="4" w:space="0" w:color="auto"/>
            </w:tcBorders>
            <w:noWrap/>
            <w:vAlign w:val="center"/>
          </w:tcPr>
          <w:p w14:paraId="4DA65797" w14:textId="77777777" w:rsidR="00D665BB" w:rsidRDefault="00D665BB" w:rsidP="000E4F21">
            <w:pPr>
              <w:spacing w:after="0"/>
              <w:rPr>
                <w:rFonts w:eastAsia="Times New Roman" w:cs="Times New Roman"/>
                <w:color w:val="000000"/>
                <w:sz w:val="20"/>
                <w:szCs w:val="20"/>
              </w:rPr>
            </w:pPr>
            <w:r>
              <w:rPr>
                <w:rFonts w:eastAsia="Times New Roman" w:cs="Times New Roman"/>
                <w:color w:val="000000"/>
                <w:sz w:val="20"/>
                <w:szCs w:val="20"/>
              </w:rPr>
              <w:t>MGOR (probit)</w:t>
            </w:r>
          </w:p>
        </w:tc>
      </w:tr>
      <w:tr w:rsidR="00D665BB" w:rsidRPr="007C5C92" w14:paraId="56A6AC4D"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6C662387"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noProof/>
                <w:color w:val="000000"/>
                <w:sz w:val="20"/>
                <w:szCs w:val="20"/>
              </w:rPr>
              <w:fldChar w:fldCharType="begin" w:fldLock="1"/>
            </w:r>
            <w:r w:rsidRPr="007C5C92">
              <w:rPr>
                <w:rFonts w:eastAsia="Times New Roman" w:cs="Times New Roman"/>
                <w:noProof/>
                <w:color w:val="000000"/>
                <w:sz w:val="20"/>
                <w:szCs w:val="20"/>
              </w:rPr>
              <w:instrText>ADDIN CSL_CITATION {"citationItems":[{"id":"ITEM-1","itemData":{"DOI":"10.1016/j.aap.2015.11.002","ISSN":"00014575","PMID":"26609666","abstract":"This analysis uses a generalized ordered logit model and a generalized additive model to estimate the effects of built environment factors on cyclist injury severity in automobile-involved bicycle crashes, as well as to accommodate possible spatial dependence among crash locations. The sample is drawn from the Seattle Department of Transportation bicycle collision profiles. This study classifies the cyclist injury types as property damage only, possible injury, evident injury, and severe injury or fatality. Our modeling outcomes show that: (1) injury severity is negatively associated with employment density; (2) severe injury or fatality is negatively associated with land use mixture; (3) lower likelihood of injuries is observed for bicyclists wearing reflective clothing; (4) improving street lighting can decrease the likelihood of cyclist injuries; (5) posted speed limit is positively associated with the probability of evident injury and severe injury or fatality; (6) older cyclists appear to be more vulnerable to severe injury or fatality; and (7) cyclists are more likely to be severely injured when large vehicles are involved in crashes. One implication drawn from this study is that cities should increase land use mixture and development density, optimally lower posted speed limits on streets with both bikes and motor vehicles, and improve street lighting to promote bicycle safety. In addition, cyclists should be encouraged to wear reflective clothing.","author":[{"dropping-particle":"","family":"Chen","given":"Peng","non-dropping-particle":"","parse-names":false,"suffix":""},{"dropping-particle":"","family":"Shen","given":"Qing","non-dropping-particle":"","parse-names":false,"suffix":""}],"container-title":"Accident Analysis and Prevention","id":"ITEM-1","issued":{"date-parts":[["2016"]]},"page":"239-246","publisher":"Elsevier Ltd","title":"Built environment effects on cyclist injury severity in automobile-involved bicycle crashes","type":"article-journal","volume":"86"},"uris":["http://www.mendeley.com/documents/?uuid=44ca37fb-7e5d-4ac8-b3c3-35f4802a06ba"]}],"mendeley":{"formattedCitation":"(Chen and Shen 2016)","manualFormatting":"Chen and Shen 2016","plainTextFormattedCitation":"(Chen and Shen 2016)","previouslyFormattedCitation":"(Chen and Shen 2016)"},"properties":{"noteIndex":0},"schema":"https://github.com/citation-style-language/schema/raw/master/csl-citation.json"}</w:instrText>
            </w:r>
            <w:r w:rsidRPr="007C5C92">
              <w:rPr>
                <w:rFonts w:eastAsia="Times New Roman" w:cs="Times New Roman"/>
                <w:noProof/>
                <w:color w:val="000000"/>
                <w:sz w:val="20"/>
                <w:szCs w:val="20"/>
              </w:rPr>
              <w:fldChar w:fldCharType="separate"/>
            </w:r>
            <w:r w:rsidRPr="007C5C92">
              <w:rPr>
                <w:rFonts w:eastAsia="Times New Roman" w:cs="Times New Roman"/>
                <w:noProof/>
                <w:color w:val="000000"/>
                <w:sz w:val="20"/>
                <w:szCs w:val="20"/>
              </w:rPr>
              <w:t>Chen and Shen 2016</w:t>
            </w:r>
            <w:r w:rsidRPr="007C5C92">
              <w:rPr>
                <w:rFonts w:eastAsia="Times New Roman" w:cs="Times New Roman"/>
                <w:noProof/>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256DEE21"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To determine built environment effects on bicyclist injury severity</w:t>
            </w:r>
          </w:p>
        </w:tc>
        <w:tc>
          <w:tcPr>
            <w:tcW w:w="2970" w:type="dxa"/>
            <w:tcBorders>
              <w:top w:val="nil"/>
              <w:left w:val="nil"/>
              <w:bottom w:val="single" w:sz="4" w:space="0" w:color="auto"/>
              <w:right w:val="single" w:sz="4" w:space="0" w:color="auto"/>
            </w:tcBorders>
            <w:noWrap/>
            <w:vAlign w:val="center"/>
            <w:hideMark/>
          </w:tcPr>
          <w:p w14:paraId="05551F37"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Seattle Department of Transportation (US; 2004-2013)</w:t>
            </w:r>
          </w:p>
        </w:tc>
        <w:tc>
          <w:tcPr>
            <w:tcW w:w="1620" w:type="dxa"/>
            <w:tcBorders>
              <w:top w:val="nil"/>
              <w:left w:val="nil"/>
              <w:bottom w:val="single" w:sz="4" w:space="0" w:color="auto"/>
              <w:right w:val="single" w:sz="4" w:space="0" w:color="auto"/>
            </w:tcBorders>
            <w:noWrap/>
            <w:vAlign w:val="center"/>
            <w:hideMark/>
          </w:tcPr>
          <w:p w14:paraId="2D9B2F70"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(4)</w:t>
            </w:r>
          </w:p>
        </w:tc>
        <w:tc>
          <w:tcPr>
            <w:tcW w:w="2250" w:type="dxa"/>
            <w:tcBorders>
              <w:top w:val="single" w:sz="4" w:space="0" w:color="auto"/>
              <w:left w:val="nil"/>
              <w:bottom w:val="single" w:sz="4" w:space="0" w:color="auto"/>
              <w:right w:val="single" w:sz="4" w:space="0" w:color="auto"/>
            </w:tcBorders>
            <w:vAlign w:val="center"/>
          </w:tcPr>
          <w:p w14:paraId="3577A6D7" w14:textId="77777777" w:rsidR="00D665BB" w:rsidRPr="00475F17" w:rsidRDefault="00D665BB" w:rsidP="00B40864">
            <w:pPr>
              <w:spacing w:after="0"/>
              <w:rPr>
                <w:rFonts w:eastAsia="Times New Roman" w:cs="Times New Roman"/>
                <w:color w:val="000000"/>
                <w:sz w:val="20"/>
                <w:szCs w:val="20"/>
              </w:rPr>
            </w:pPr>
            <w:r w:rsidRPr="00475F17">
              <w:rPr>
                <w:sz w:val="20"/>
                <w:szCs w:val="20"/>
              </w:rPr>
              <w:t>Property damage, possible, evident, severe injury or fatality</w:t>
            </w:r>
          </w:p>
        </w:tc>
        <w:tc>
          <w:tcPr>
            <w:tcW w:w="1350" w:type="dxa"/>
            <w:tcBorders>
              <w:top w:val="nil"/>
              <w:left w:val="single" w:sz="4" w:space="0" w:color="auto"/>
              <w:bottom w:val="single" w:sz="4" w:space="0" w:color="auto"/>
              <w:right w:val="single" w:sz="4" w:space="0" w:color="auto"/>
            </w:tcBorders>
            <w:noWrap/>
            <w:vAlign w:val="center"/>
            <w:hideMark/>
          </w:tcPr>
          <w:p w14:paraId="4A486710"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PPO</w:t>
            </w:r>
            <w:r w:rsidRPr="007C5C92">
              <w:rPr>
                <w:rFonts w:eastAsia="Times New Roman" w:cs="Times New Roman"/>
                <w:color w:val="000000"/>
                <w:sz w:val="20"/>
                <w:szCs w:val="20"/>
              </w:rPr>
              <w:t xml:space="preserve"> (logit)</w:t>
            </w:r>
          </w:p>
        </w:tc>
      </w:tr>
      <w:tr w:rsidR="00D665BB" w:rsidRPr="007C5C92" w14:paraId="726EFF07"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532CD77E"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{"citationItems":[{"id":"ITEM-1","itemData":{"DOI":"10.1177/0361198118796352","ISSN":"21694052","abstract":"Traditional crash databases that record police-reported injury severity data are prone to misclassification errors. Ignoring these errors in discrete ordered response models used for analyzing injury severity can lead to biased and inconsistent parameter estimates. In this study, a mixed generalized ordered response (MGOR) model that quantifies misclassification rates in the injury severity variable and adjusts the bias in parameter estimates associated with misclassification was developed. The proposed model does this by considering the observed injury severity outcome as a realization from a discrete random variable that depends on true latent injury severity that is unobservable to the analyst. The model was used to analyze misclassification rates in police-reported injury severity in the 2014 General Estimates System (GES) data. The model found that only 68.23% and 62.75% of possible and non-incapacitating injuries were correctly recorded in the GES data. Moreover, comparative analysis with the MGOR model that ignores misclassification not only has lower data fit but also considerable bias in both the parameter and elasticity estimates. The model developed in this study can be used to analyze misclassification errors in ordinal response variables in other empirical contexts.","author":[{"dropping-particle":"","family":"Balan","given":"Lacramioara","non-dropping-particle":"","parse-names":false,"suffix":""},{"dropping-particle":"","family":"Paleti","given":"Rajesh","non-dropping-particle":"","parse-names":false,"suffix":""}],"container-title":"Transportation Research Record","id":"ITEM-1","issue":"30","issued":{"date-parts":[["2018"]]},"page":"53-63","title":"Modified mixed generalized ordered response model to handle misclassification in injury severity data","type":"article-journal","volume":"2672"},"uris":["http://www.mendeley.com/documents/?uuid=d8b8bb4c-95bb-4624-a7ab-6505ffe4d9a7"]}],"mendeley":{"formattedCitation":"(Balan and Paleti 2018)","manualFormatting":"Balan and Paleti 2018","plainTextFormattedCitation":"(Balan and Paleti 2018)","previouslyFormattedCitation":"(Balan and Paleti 2018)"},"properties":{"noteIndex":0},"schema":"https://github.com/citation-style-language/schema/raw/master/csl-citation.json"}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Balan and Paleti 2018</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7A53EE96"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To develop a modified MGOR model of crash severity</w:t>
            </w:r>
          </w:p>
        </w:tc>
        <w:tc>
          <w:tcPr>
            <w:tcW w:w="2970" w:type="dxa"/>
            <w:tcBorders>
              <w:top w:val="nil"/>
              <w:left w:val="nil"/>
              <w:bottom w:val="single" w:sz="4" w:space="0" w:color="auto"/>
              <w:right w:val="single" w:sz="4" w:space="0" w:color="auto"/>
            </w:tcBorders>
            <w:noWrap/>
            <w:vAlign w:val="center"/>
            <w:hideMark/>
          </w:tcPr>
          <w:p w14:paraId="00F4ED54" w14:textId="20226F8A" w:rsidR="00D665BB" w:rsidRPr="00ED7903" w:rsidRDefault="004E1E01" w:rsidP="000E4F21">
            <w:pPr>
              <w:spacing w:after="0"/>
              <w:rPr>
                <w:rFonts w:eastAsia="Times New Roman" w:cs="Times New Roman"/>
                <w:color w:val="000000"/>
                <w:sz w:val="20"/>
                <w:szCs w:val="20"/>
              </w:rPr>
            </w:pPr>
            <w:r>
              <w:rPr>
                <w:rFonts w:eastAsia="Times New Roman" w:cs="Times New Roman"/>
                <w:color w:val="000000"/>
                <w:sz w:val="20"/>
                <w:szCs w:val="20"/>
              </w:rPr>
              <w:t>GES</w:t>
            </w:r>
            <w:r w:rsidR="00D665BB" w:rsidRPr="00ED7903">
              <w:rPr>
                <w:rFonts w:eastAsia="Times New Roman" w:cs="Times New Roman"/>
                <w:color w:val="000000"/>
                <w:sz w:val="20"/>
                <w:szCs w:val="20"/>
              </w:rPr>
              <w:t xml:space="preserve"> database (US; 2014)</w:t>
            </w:r>
          </w:p>
        </w:tc>
        <w:tc>
          <w:tcPr>
            <w:tcW w:w="1620" w:type="dxa"/>
            <w:tcBorders>
              <w:top w:val="nil"/>
              <w:left w:val="nil"/>
              <w:bottom w:val="single" w:sz="4" w:space="0" w:color="auto"/>
              <w:right w:val="single" w:sz="4" w:space="0" w:color="auto"/>
            </w:tcBorders>
            <w:noWrap/>
            <w:vAlign w:val="center"/>
            <w:hideMark/>
          </w:tcPr>
          <w:p w14:paraId="4F41544E"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(4)</w:t>
            </w:r>
          </w:p>
        </w:tc>
        <w:tc>
          <w:tcPr>
            <w:tcW w:w="2250" w:type="dxa"/>
            <w:tcBorders>
              <w:top w:val="single" w:sz="4" w:space="0" w:color="auto"/>
              <w:left w:val="nil"/>
              <w:bottom w:val="single" w:sz="4" w:space="0" w:color="auto"/>
              <w:right w:val="single" w:sz="4" w:space="0" w:color="auto"/>
            </w:tcBorders>
            <w:vAlign w:val="center"/>
          </w:tcPr>
          <w:p w14:paraId="184C154C" w14:textId="77777777" w:rsidR="00D665BB" w:rsidRPr="00475F17" w:rsidRDefault="00D665BB" w:rsidP="00B40864">
            <w:pPr>
              <w:spacing w:after="0"/>
              <w:rPr>
                <w:rFonts w:eastAsia="Times New Roman" w:cs="Times New Roman"/>
                <w:color w:val="000000"/>
                <w:sz w:val="20"/>
                <w:szCs w:val="20"/>
              </w:rPr>
            </w:pPr>
            <w:r w:rsidRPr="00475F17">
              <w:rPr>
                <w:sz w:val="20"/>
                <w:szCs w:val="20"/>
              </w:rPr>
              <w:t>No injury, possible injury, non-incapacitating and incapacitating or fatal injury</w:t>
            </w:r>
          </w:p>
        </w:tc>
        <w:tc>
          <w:tcPr>
            <w:tcW w:w="1350" w:type="dxa"/>
            <w:tcBorders>
              <w:top w:val="nil"/>
              <w:left w:val="single" w:sz="4" w:space="0" w:color="auto"/>
              <w:bottom w:val="single" w:sz="4" w:space="0" w:color="auto"/>
              <w:right w:val="single" w:sz="4" w:space="0" w:color="auto"/>
            </w:tcBorders>
            <w:noWrap/>
            <w:vAlign w:val="center"/>
            <w:hideMark/>
          </w:tcPr>
          <w:p w14:paraId="39D9C533"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MGOR</w:t>
            </w:r>
            <w:r w:rsidRPr="007C5C92">
              <w:rPr>
                <w:rFonts w:eastAsia="Times New Roman" w:cs="Times New Roman"/>
                <w:color w:val="000000"/>
                <w:sz w:val="20"/>
                <w:szCs w:val="20"/>
              </w:rPr>
              <w:t xml:space="preserve"> (probit)</w:t>
            </w:r>
          </w:p>
        </w:tc>
      </w:tr>
      <w:tr w:rsidR="00D665BB" w:rsidRPr="007C5C92" w14:paraId="547147DF"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273AB704"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Prevention","id":"ITEM-1","issued":{"date-parts":[["2013"]]},"page":"188-203","publisher":"Elsevier Ltd","title":"A spatial generalized ordered response model to examine highway crash injury severity","type":"article-journal","volume":"52"},"uris":["http://www.mendeley.com/documents/?uuid=464566dd-234b-4c23-9134-0a00c0c5d8b8"]}],"mendeley":{"formattedCitation":"(Castro et al. 2013)","manualFormatting":"Castro et al. 2013","plainTextFormattedCitation":"(Castro et al. 2013)","previouslyFormattedCitation":"(Castro et al. 2013)"},"properties":{"noteIndex":0},"schema":"https://github.com/citation-style-language/schema/raw/master/csl-citation.json"}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Castro et al. 2013</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128BD784" w14:textId="70528C13"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To identify factors</w:t>
            </w:r>
            <w:r w:rsidR="00387916">
              <w:rPr>
                <w:rFonts w:eastAsia="Times New Roman" w:cs="Times New Roman"/>
                <w:color w:val="000000"/>
                <w:sz w:val="20"/>
                <w:szCs w:val="20"/>
              </w:rPr>
              <w:t>/variables affecting</w:t>
            </w:r>
            <w:r w:rsidRPr="00ED7903">
              <w:rPr>
                <w:rFonts w:eastAsia="Times New Roman" w:cs="Times New Roman"/>
                <w:color w:val="000000"/>
                <w:sz w:val="20"/>
                <w:szCs w:val="20"/>
              </w:rPr>
              <w:t xml:space="preserve"> crash severity </w:t>
            </w:r>
            <w:r w:rsidR="00387916">
              <w:rPr>
                <w:rFonts w:eastAsia="Times New Roman" w:cs="Times New Roman"/>
                <w:color w:val="000000"/>
                <w:sz w:val="20"/>
                <w:szCs w:val="20"/>
              </w:rPr>
              <w:t xml:space="preserve">while accommodating </w:t>
            </w:r>
            <w:r w:rsidRPr="00ED7903">
              <w:rPr>
                <w:rFonts w:eastAsia="Times New Roman" w:cs="Times New Roman"/>
                <w:color w:val="000000"/>
                <w:sz w:val="20"/>
                <w:szCs w:val="20"/>
              </w:rPr>
              <w:t xml:space="preserve">spatial dependency </w:t>
            </w:r>
          </w:p>
        </w:tc>
        <w:tc>
          <w:tcPr>
            <w:tcW w:w="2970" w:type="dxa"/>
            <w:tcBorders>
              <w:top w:val="nil"/>
              <w:left w:val="nil"/>
              <w:bottom w:val="single" w:sz="4" w:space="0" w:color="auto"/>
              <w:right w:val="single" w:sz="4" w:space="0" w:color="auto"/>
            </w:tcBorders>
            <w:noWrap/>
            <w:vAlign w:val="center"/>
            <w:hideMark/>
          </w:tcPr>
          <w:p w14:paraId="19D7AC3C"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w:t>
            </w:r>
            <w:r>
              <w:rPr>
                <w:rFonts w:eastAsia="Times New Roman" w:cs="Times New Roman"/>
                <w:color w:val="000000"/>
                <w:sz w:val="20"/>
                <w:szCs w:val="20"/>
              </w:rPr>
              <w:t xml:space="preserve">xDOT </w:t>
            </w:r>
            <w:r w:rsidRPr="00ED7903">
              <w:rPr>
                <w:rFonts w:eastAsia="Times New Roman" w:cs="Times New Roman"/>
                <w:color w:val="000000"/>
                <w:sz w:val="20"/>
                <w:szCs w:val="20"/>
              </w:rPr>
              <w:t>Crash Records Information System (Texas, US; 2009)</w:t>
            </w:r>
          </w:p>
        </w:tc>
        <w:tc>
          <w:tcPr>
            <w:tcW w:w="1620" w:type="dxa"/>
            <w:tcBorders>
              <w:top w:val="nil"/>
              <w:left w:val="nil"/>
              <w:bottom w:val="single" w:sz="4" w:space="0" w:color="auto"/>
              <w:right w:val="single" w:sz="4" w:space="0" w:color="auto"/>
            </w:tcBorders>
            <w:noWrap/>
            <w:vAlign w:val="center"/>
            <w:hideMark/>
          </w:tcPr>
          <w:p w14:paraId="01F74601"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(4)</w:t>
            </w:r>
          </w:p>
        </w:tc>
        <w:tc>
          <w:tcPr>
            <w:tcW w:w="2250" w:type="dxa"/>
            <w:tcBorders>
              <w:top w:val="single" w:sz="4" w:space="0" w:color="auto"/>
              <w:left w:val="nil"/>
              <w:bottom w:val="single" w:sz="4" w:space="0" w:color="auto"/>
              <w:right w:val="single" w:sz="4" w:space="0" w:color="auto"/>
            </w:tcBorders>
            <w:vAlign w:val="center"/>
          </w:tcPr>
          <w:p w14:paraId="06453D6E" w14:textId="77777777" w:rsidR="00D665BB" w:rsidRPr="00475F17" w:rsidRDefault="00D665BB" w:rsidP="00B40864">
            <w:pPr>
              <w:spacing w:after="0"/>
              <w:rPr>
                <w:rFonts w:eastAsia="Times New Roman" w:cs="Times New Roman"/>
                <w:color w:val="000000"/>
                <w:sz w:val="20"/>
                <w:szCs w:val="20"/>
              </w:rPr>
            </w:pPr>
            <w:r w:rsidRPr="00475F17">
              <w:rPr>
                <w:sz w:val="20"/>
                <w:szCs w:val="20"/>
              </w:rPr>
              <w:t>No injury, possible injury, non-incapacitating, incapacitating or fatal injury</w:t>
            </w:r>
          </w:p>
        </w:tc>
        <w:tc>
          <w:tcPr>
            <w:tcW w:w="1350" w:type="dxa"/>
            <w:tcBorders>
              <w:top w:val="nil"/>
              <w:left w:val="single" w:sz="4" w:space="0" w:color="auto"/>
              <w:bottom w:val="single" w:sz="4" w:space="0" w:color="auto"/>
              <w:right w:val="single" w:sz="4" w:space="0" w:color="auto"/>
            </w:tcBorders>
            <w:noWrap/>
            <w:vAlign w:val="center"/>
            <w:hideMark/>
          </w:tcPr>
          <w:p w14:paraId="295246C2"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MGOR</w:t>
            </w:r>
            <w:r w:rsidRPr="007C5C92">
              <w:rPr>
                <w:rFonts w:eastAsia="Times New Roman" w:cs="Times New Roman"/>
                <w:color w:val="000000"/>
                <w:sz w:val="20"/>
                <w:szCs w:val="20"/>
              </w:rPr>
              <w:t xml:space="preserve"> (logit)</w:t>
            </w:r>
          </w:p>
        </w:tc>
      </w:tr>
      <w:tr w:rsidR="00D665BB" w:rsidRPr="007C5C92" w14:paraId="3CC20DB2"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18DF2AF1"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{"citationItems":[{"id":"ITEM-1","itemData":{"DOI":"10.1016/j.amar.2018.03.003","ISSN":"22136657","abstract":"Using information from 1990 single-vehicle accidents that occurred between 2011 and 2013 in the state of Washington, the injury severity level of the most severely injured vehicle occupant is studied using two latent class modeling approaches: segment-based and accident-based latent class ordered probit model with class-probability functions. The segment-based latent class ordered probit framework allows explanatory parameters to vary across unobserved groups (classes) of the highway segment population, while the modeling structure treats all segment-specific injury observations homogeneously (grouped). The accident-based latent class ordered probit framework allows for the explanatory parameters to vary across unobserved groups of the accident population, and the modeling structure treats all accident injury-severity observations individually (ungrouped). To further address heterogeneity arising from the probabilistic assignment of the highway segments or accident observations in the latent classes, the class probabilities are allowed to vary as a function of explanatory parameters, respectively. For both modeling approaches, the proposed latent class approach with class-probability functions is compared to its latent class counterpart with fixed class probabilities, and the results support the statistical superiority of the former, in terms of statistical fit and explanatory power. The empirical findings show the potential of both modeling approaches to unmask driver-, vehicle-, collision- and weather-specific sources of heterogeneity and, specifically, the capability of the segment-based approach to account for segment-specific heterogeneity. The comparative evaluation between the two modeling approaches shows that the segment-based approach provides better overall statistical fit. Furthermore, the forecasting accuracy of both approaches is explored through probability- and error-based measures demonstrating the forecasting accuracy benefits of the segment-based approach.","author":[{"dropping-particle":"","family":"Fountas","given":"Grigorios","non-dropping-particle":"","parse-names":false,"suffix":""},{"dropping-particle":"","family":"Anastasopoulos","given":"Panagiotis Ch","non-dropping-particle":"","parse-names":false,"suffix":""},{"dropping-particle":"","family":"Mannering","given":"Fred L.","non-dropping-particle":"","parse-names":false,"suffix":""}],"container-title":"Analytic Methods in Accident Research","id":"ITEM-1","issued":{"date-parts":[["2018"]]},"page":"15-32","title":"Analysis of vehicle accident-injury severities: A comparison of segment- versus accident-based latent class ordered probit models with class-probability functions","type":"article-journal","volume":"18"},"uris":["http://www.mendeley.com/documents/?uuid=62c81d7b-7909-4780-90c0-72f99b31dcf8"]}],"mendeley":{"formattedCitation":"(Fountas et al. 2018)","manualFormatting":"Fountas et al. 2018","plainTextFormattedCitation":"(Fountas et al. 2018)","previouslyFormattedCitation":"(Fountas et al. 2018)"},"properties":{"noteIndex":0},"schema":"https://github.com/citation-style-language/schema/raw/master/csl-citation.json"}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Fountas et al. 2018</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447F1127" w14:textId="29D4A7C5"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accommodate for the </w:t>
            </w:r>
            <w:r w:rsidR="00B74DF3">
              <w:rPr>
                <w:rFonts w:eastAsia="Times New Roman" w:cs="Times New Roman"/>
                <w:color w:val="000000"/>
                <w:sz w:val="20"/>
                <w:szCs w:val="20"/>
              </w:rPr>
              <w:t>influence</w:t>
            </w:r>
            <w:r w:rsidR="00B74DF3" w:rsidRPr="00ED7903">
              <w:rPr>
                <w:rFonts w:eastAsia="Times New Roman" w:cs="Times New Roman"/>
                <w:color w:val="000000"/>
                <w:sz w:val="20"/>
                <w:szCs w:val="20"/>
              </w:rPr>
              <w:t xml:space="preserve"> </w:t>
            </w:r>
            <w:r w:rsidRPr="00ED7903">
              <w:rPr>
                <w:rFonts w:eastAsia="Times New Roman" w:cs="Times New Roman"/>
                <w:color w:val="000000"/>
                <w:sz w:val="20"/>
                <w:szCs w:val="20"/>
              </w:rPr>
              <w:t xml:space="preserve">of </w:t>
            </w:r>
            <w:r>
              <w:rPr>
                <w:rFonts w:eastAsia="Times New Roman" w:cs="Times New Roman"/>
                <w:color w:val="000000"/>
                <w:sz w:val="20"/>
                <w:szCs w:val="20"/>
              </w:rPr>
              <w:t xml:space="preserve">unobserved </w:t>
            </w:r>
            <w:r w:rsidRPr="00ED7903">
              <w:rPr>
                <w:rFonts w:eastAsia="Times New Roman" w:cs="Times New Roman"/>
                <w:color w:val="000000"/>
                <w:sz w:val="20"/>
                <w:szCs w:val="20"/>
              </w:rPr>
              <w:t>heterogeneity on crash injury severity</w:t>
            </w:r>
          </w:p>
        </w:tc>
        <w:tc>
          <w:tcPr>
            <w:tcW w:w="2970" w:type="dxa"/>
            <w:tcBorders>
              <w:top w:val="nil"/>
              <w:left w:val="nil"/>
              <w:bottom w:val="single" w:sz="4" w:space="0" w:color="auto"/>
              <w:right w:val="single" w:sz="4" w:space="0" w:color="auto"/>
            </w:tcBorders>
            <w:noWrap/>
            <w:vAlign w:val="center"/>
            <w:hideMark/>
          </w:tcPr>
          <w:p w14:paraId="59C1E872"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Single-vehicle crash data (Washington, US; 2011-2013)</w:t>
            </w:r>
          </w:p>
        </w:tc>
        <w:tc>
          <w:tcPr>
            <w:tcW w:w="1620" w:type="dxa"/>
            <w:tcBorders>
              <w:top w:val="nil"/>
              <w:left w:val="nil"/>
              <w:bottom w:val="single" w:sz="4" w:space="0" w:color="auto"/>
              <w:right w:val="single" w:sz="4" w:space="0" w:color="auto"/>
            </w:tcBorders>
            <w:noWrap/>
            <w:vAlign w:val="center"/>
            <w:hideMark/>
          </w:tcPr>
          <w:p w14:paraId="7EFF511A"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(4)</w:t>
            </w:r>
          </w:p>
        </w:tc>
        <w:tc>
          <w:tcPr>
            <w:tcW w:w="2250" w:type="dxa"/>
            <w:tcBorders>
              <w:top w:val="single" w:sz="4" w:space="0" w:color="auto"/>
              <w:left w:val="nil"/>
              <w:bottom w:val="single" w:sz="4" w:space="0" w:color="auto"/>
              <w:right w:val="single" w:sz="4" w:space="0" w:color="auto"/>
            </w:tcBorders>
            <w:vAlign w:val="center"/>
          </w:tcPr>
          <w:p w14:paraId="23D73DAB" w14:textId="77777777" w:rsidR="00D665BB" w:rsidRPr="00475F17" w:rsidRDefault="00D665BB" w:rsidP="00B40864">
            <w:pPr>
              <w:spacing w:after="0"/>
              <w:rPr>
                <w:rFonts w:eastAsia="Times New Roman" w:cs="Times New Roman"/>
                <w:color w:val="000000"/>
                <w:sz w:val="20"/>
                <w:szCs w:val="20"/>
              </w:rPr>
            </w:pPr>
            <w:r w:rsidRPr="00475F17">
              <w:rPr>
                <w:sz w:val="20"/>
                <w:szCs w:val="20"/>
              </w:rPr>
              <w:t>No evident injury, non-incapacitating, incapacitating and fatality</w:t>
            </w:r>
          </w:p>
        </w:tc>
        <w:tc>
          <w:tcPr>
            <w:tcW w:w="1350" w:type="dxa"/>
            <w:tcBorders>
              <w:top w:val="nil"/>
              <w:left w:val="single" w:sz="4" w:space="0" w:color="auto"/>
              <w:bottom w:val="single" w:sz="4" w:space="0" w:color="auto"/>
              <w:right w:val="single" w:sz="4" w:space="0" w:color="auto"/>
            </w:tcBorders>
            <w:noWrap/>
            <w:vAlign w:val="center"/>
            <w:hideMark/>
          </w:tcPr>
          <w:p w14:paraId="1365A044"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OR</w:t>
            </w:r>
            <w:r w:rsidRPr="007C5C92">
              <w:rPr>
                <w:rFonts w:eastAsia="Times New Roman" w:cs="Times New Roman"/>
                <w:color w:val="000000"/>
                <w:sz w:val="20"/>
                <w:szCs w:val="20"/>
              </w:rPr>
              <w:t xml:space="preserve"> (probit)</w:t>
            </w:r>
          </w:p>
        </w:tc>
      </w:tr>
      <w:tr w:rsidR="00D665BB" w:rsidRPr="007C5C92" w14:paraId="4F00D530"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7B9439F5"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{"citationItems":[{"id":"ITEM-1","itemData":{"DOI":"10.1016/j.jsr.2015.09.004","ISSN":"00224375","PMID":"26683551","abstract":"Problem The severity of motorway accidents that occurred on the hard shoulder (HS) is higher than for the main carriageway (MC). This paper compares and contrasts the most important factors affecting the severity of HS and MC accidents on motorways in England. Method Using police reported accident data, the accidents that occurred on motorways in England are grouped into two categories (i.e., HS and MC) according to the location. A generalized ordered logistic regression model is then applied to identify the factors affecting the severity of HS and MC accidents on motorways. The factors examined include accident and vehicle characteristics, traffic and environment conditions, as well as other behavioral factors. Results Results suggest that the factors positively affecting the severity include: number of vehicles involved in the accident, peak-hour traffic time, and low visibility. Differences between HS and MC accidents are identified, with the most important being the involvement of heavy goods vehicles (HGVs) and driver fatigue, which are found to be more crucial in increasing the severity of HS accidents. Practical applications Measures to increase awareness of HGV drivers regarding the risk of fatigue when driving on motorways, and especially the nearside lane, should be taken by the stakeholders.","author":[{"dropping-particle":"","family":"Michalaki","given":"Paraskevi","non-dropping-particle":"","parse-names":false,"suffix":""},{"dropping-particle":"","family":"Quddus","given":"Mohammed A.","non-dropping-particle":"","parse-names":false,"suffix":""},{"dropping-particle":"","family":"Pitfield","given":"David","non-dropping-particle":"","parse-names":false,"suffix":""},{"dropping-particle":"","family":"Huetson","given":"Andrew","non-dropping-particle":"","parse-names":false,"suffix":""}],"container-title":"Journal of Safety Research","id":"ITEM-1","issued":{"date-parts":[["2015"]]},"page":"89-97","title":"Exploring the factors affecting motorway accident severity in England using the generalised ordered logistic regression model","type":"article-journal","volume":"55"},"uris":["http://www.mendeley.com/documents/?uuid=6bb3a27d-6f9a-43fa-a187-32fd798e0b94"]}],"mendeley":{"formattedCitation":"(Michalaki et al. 2015)","manualFormatting":"Michalaki et al. 2015","plainTextFormattedCitation":"(Michalaki et al. 2015)","previouslyFormattedCitation":"(Michalaki et al. 2015)"},"properties":{"noteIndex":0},"schema":"https://github.com/citation-style-language/schema/raw/master/csl-citation.json"}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Michalaki et al. 2015</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0080531C" w14:textId="70AAB8BB"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To identify the factors</w:t>
            </w:r>
            <w:r w:rsidR="00B74DF3">
              <w:rPr>
                <w:rFonts w:eastAsia="Times New Roman" w:cs="Times New Roman"/>
                <w:color w:val="000000"/>
                <w:sz w:val="20"/>
                <w:szCs w:val="20"/>
              </w:rPr>
              <w:t>/variables</w:t>
            </w:r>
            <w:r w:rsidRPr="00ED7903">
              <w:rPr>
                <w:rFonts w:eastAsia="Times New Roman" w:cs="Times New Roman"/>
                <w:color w:val="000000"/>
                <w:sz w:val="20"/>
                <w:szCs w:val="20"/>
              </w:rPr>
              <w:t xml:space="preserve"> </w:t>
            </w:r>
            <w:r w:rsidR="00C1013C">
              <w:rPr>
                <w:rFonts w:eastAsia="Times New Roman" w:cs="Times New Roman"/>
                <w:color w:val="000000"/>
                <w:sz w:val="20"/>
                <w:szCs w:val="20"/>
              </w:rPr>
              <w:t>affecting</w:t>
            </w:r>
            <w:r w:rsidRPr="00ED7903">
              <w:rPr>
                <w:rFonts w:eastAsia="Times New Roman" w:cs="Times New Roman"/>
                <w:color w:val="000000"/>
                <w:sz w:val="20"/>
                <w:szCs w:val="20"/>
              </w:rPr>
              <w:t xml:space="preserve"> crash severity </w:t>
            </w:r>
          </w:p>
        </w:tc>
        <w:tc>
          <w:tcPr>
            <w:tcW w:w="2970" w:type="dxa"/>
            <w:tcBorders>
              <w:top w:val="nil"/>
              <w:left w:val="nil"/>
              <w:bottom w:val="single" w:sz="4" w:space="0" w:color="auto"/>
              <w:right w:val="single" w:sz="4" w:space="0" w:color="auto"/>
            </w:tcBorders>
            <w:noWrap/>
            <w:vAlign w:val="center"/>
            <w:hideMark/>
          </w:tcPr>
          <w:p w14:paraId="56010A40"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Police reported crash data (Great Britain; 2005-2011)</w:t>
            </w:r>
          </w:p>
        </w:tc>
        <w:tc>
          <w:tcPr>
            <w:tcW w:w="1620" w:type="dxa"/>
            <w:tcBorders>
              <w:top w:val="nil"/>
              <w:left w:val="nil"/>
              <w:bottom w:val="single" w:sz="4" w:space="0" w:color="auto"/>
              <w:right w:val="single" w:sz="4" w:space="0" w:color="auto"/>
            </w:tcBorders>
            <w:noWrap/>
            <w:vAlign w:val="center"/>
            <w:hideMark/>
          </w:tcPr>
          <w:p w14:paraId="00F3121F"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Injury severity (3)</w:t>
            </w:r>
          </w:p>
        </w:tc>
        <w:tc>
          <w:tcPr>
            <w:tcW w:w="2250" w:type="dxa"/>
            <w:tcBorders>
              <w:top w:val="nil"/>
              <w:left w:val="nil"/>
              <w:bottom w:val="single" w:sz="4" w:space="0" w:color="auto"/>
              <w:right w:val="single" w:sz="4" w:space="0" w:color="auto"/>
            </w:tcBorders>
            <w:vAlign w:val="center"/>
          </w:tcPr>
          <w:p w14:paraId="080AD82D" w14:textId="77777777" w:rsidR="00D665BB" w:rsidRPr="00475F17" w:rsidRDefault="00D665BB" w:rsidP="00B40864">
            <w:pPr>
              <w:spacing w:after="0"/>
              <w:rPr>
                <w:rFonts w:eastAsia="Times New Roman" w:cs="Times New Roman"/>
                <w:color w:val="000000"/>
                <w:sz w:val="20"/>
                <w:szCs w:val="20"/>
              </w:rPr>
            </w:pPr>
            <w:r w:rsidRPr="00475F17">
              <w:rPr>
                <w:sz w:val="20"/>
                <w:szCs w:val="20"/>
              </w:rPr>
              <w:t>Slight injury, serious injury and fatality</w:t>
            </w:r>
          </w:p>
        </w:tc>
        <w:tc>
          <w:tcPr>
            <w:tcW w:w="1350" w:type="dxa"/>
            <w:tcBorders>
              <w:top w:val="nil"/>
              <w:left w:val="single" w:sz="4" w:space="0" w:color="auto"/>
              <w:bottom w:val="single" w:sz="4" w:space="0" w:color="auto"/>
              <w:right w:val="single" w:sz="4" w:space="0" w:color="auto"/>
            </w:tcBorders>
            <w:noWrap/>
            <w:vAlign w:val="center"/>
            <w:hideMark/>
          </w:tcPr>
          <w:p w14:paraId="2313F092"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PPO</w:t>
            </w:r>
            <w:r w:rsidRPr="007C5C92">
              <w:rPr>
                <w:rFonts w:eastAsia="Times New Roman" w:cs="Times New Roman"/>
                <w:color w:val="000000"/>
                <w:sz w:val="20"/>
                <w:szCs w:val="20"/>
              </w:rPr>
              <w:t xml:space="preserve"> (logit)</w:t>
            </w:r>
          </w:p>
        </w:tc>
      </w:tr>
      <w:tr w:rsidR="00D665BB" w:rsidRPr="007C5C92" w14:paraId="1C444548"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6DFF60D9"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{"citationItems":[{"id":"ITEM-1","itemData":{"DOI":"10.1080/23249935.2018.1564800","ISSN":"23249943","abstract":"The study develops a comprehensive and statistically valid framework to study the impact of new public transportation infrastructure (SunRail commuter train) on existing public transit infrastructure (Lynx bus) in the Orlando metropolitan region. The data for the study is drawn from bus ridership information for six 4-month time periods - 3 prior and 3 after SunRail began operations - allowing us to study time varying effects of SunRail on bus ridership. The current research formulates and estimates an innovative grouped ordered response structure for the ridership analysis. To measure the impact of commuter rail on stop level bus ridership (defined as boarding and alighting), the model system controls for a host of independent variables including stop level attributes, transportation infrastructure, transit infrastructure, land use, built environment, demographic and socioeconomic variables. The proposed model also accommodates for common unobserved factors affecting ridership as well as repeated ridership measures for each stop.","author":[{"dropping-particle":"","family":"Rahman","given":"Moshiur","non-dropping-particle":"","parse-names":false,"suffix":""},{"dropping-particle":"","family":"Yasmin","given":"Shamsunnahar","non-dropping-particle":"","parse-names":false,"suffix":""},{"dropping-particle":"","family":"Eluru","given":"Naveen","non-dropping-particle":"","parse-names":false,"suffix":""}],"container-title":"Transportmetrica A: Transport Science","id":"ITEM-1","issue":"2","issued":{"date-parts":[["2019"]]},"page":"1081-1101","title":"Evaluating the impact of a newly added commuter rail system on bus ridership: a grouped ordered logit model approach","type":"article-journal","volume":"15"},"uris":["http://www.mendeley.com/documents/?uuid=ba62bf22-693f-4777-a56f-e6e290f05dde"]}],"mendeley":{"formattedCitation":"(Rahman et al. 2019)","manualFormatting":"Rahman et al. 2019","plainTextFormattedCitation":"(Rahman et al. 2019)","previouslyFormattedCitation":"(Rahman et al. 2019)"},"properties":{"noteIndex":0},"schema":"https://github.com/citation-style-language/schema/raw/master/csl-citation.json"}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Rahman et al. 2019</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79335539" w14:textId="5E34F593"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study </w:t>
            </w:r>
            <w:r w:rsidR="00C60F2A">
              <w:rPr>
                <w:rFonts w:eastAsia="Times New Roman" w:cs="Times New Roman"/>
                <w:color w:val="000000"/>
                <w:sz w:val="20"/>
                <w:szCs w:val="20"/>
              </w:rPr>
              <w:t xml:space="preserve">how </w:t>
            </w:r>
            <w:r w:rsidRPr="00ED7903">
              <w:rPr>
                <w:rFonts w:eastAsia="Times New Roman" w:cs="Times New Roman"/>
                <w:color w:val="000000"/>
                <w:sz w:val="20"/>
                <w:szCs w:val="20"/>
              </w:rPr>
              <w:t>new public transportation infrastructure</w:t>
            </w:r>
            <w:r w:rsidR="00C60F2A">
              <w:rPr>
                <w:rFonts w:eastAsia="Times New Roman" w:cs="Times New Roman"/>
                <w:color w:val="000000"/>
                <w:sz w:val="20"/>
                <w:szCs w:val="20"/>
              </w:rPr>
              <w:t xml:space="preserve"> affects transit infrastructure usage</w:t>
            </w:r>
          </w:p>
        </w:tc>
        <w:tc>
          <w:tcPr>
            <w:tcW w:w="2970" w:type="dxa"/>
            <w:tcBorders>
              <w:top w:val="nil"/>
              <w:left w:val="nil"/>
              <w:bottom w:val="single" w:sz="4" w:space="0" w:color="auto"/>
              <w:right w:val="single" w:sz="4" w:space="0" w:color="auto"/>
            </w:tcBorders>
            <w:noWrap/>
            <w:vAlign w:val="center"/>
            <w:hideMark/>
          </w:tcPr>
          <w:p w14:paraId="4159573B"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Lynx bus ridership (Orlando, US; 2013-2015)</w:t>
            </w:r>
          </w:p>
        </w:tc>
        <w:tc>
          <w:tcPr>
            <w:tcW w:w="1620" w:type="dxa"/>
            <w:tcBorders>
              <w:top w:val="nil"/>
              <w:left w:val="nil"/>
              <w:bottom w:val="single" w:sz="4" w:space="0" w:color="auto"/>
              <w:right w:val="single" w:sz="4" w:space="0" w:color="auto"/>
            </w:tcBorders>
            <w:noWrap/>
            <w:vAlign w:val="center"/>
            <w:hideMark/>
          </w:tcPr>
          <w:p w14:paraId="1B743F16"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Bus ridership: average weekday boarding and alighting (13)</w:t>
            </w:r>
          </w:p>
        </w:tc>
        <w:tc>
          <w:tcPr>
            <w:tcW w:w="2250" w:type="dxa"/>
            <w:tcBorders>
              <w:top w:val="nil"/>
              <w:left w:val="nil"/>
              <w:bottom w:val="single" w:sz="4" w:space="0" w:color="auto"/>
              <w:right w:val="single" w:sz="4" w:space="0" w:color="auto"/>
            </w:tcBorders>
            <w:vAlign w:val="center"/>
          </w:tcPr>
          <w:p w14:paraId="55A501DD" w14:textId="77777777" w:rsidR="00D665BB" w:rsidRPr="00475F17" w:rsidRDefault="00D665BB" w:rsidP="00B40864">
            <w:pPr>
              <w:spacing w:after="0"/>
              <w:rPr>
                <w:rFonts w:eastAsia="Times New Roman" w:cs="Times New Roman"/>
                <w:color w:val="000000"/>
                <w:sz w:val="20"/>
                <w:szCs w:val="20"/>
              </w:rPr>
            </w:pPr>
            <w:r w:rsidRPr="00475F17">
              <w:rPr>
                <w:sz w:val="20"/>
                <w:szCs w:val="20"/>
              </w:rPr>
              <w:t>Discretized log-transformed ridership (0-5, 5-10, so on)</w:t>
            </w:r>
          </w:p>
        </w:tc>
        <w:tc>
          <w:tcPr>
            <w:tcW w:w="1350" w:type="dxa"/>
            <w:tcBorders>
              <w:top w:val="nil"/>
              <w:left w:val="single" w:sz="4" w:space="0" w:color="auto"/>
              <w:bottom w:val="single" w:sz="4" w:space="0" w:color="auto"/>
              <w:right w:val="single" w:sz="4" w:space="0" w:color="auto"/>
            </w:tcBorders>
            <w:noWrap/>
            <w:vAlign w:val="center"/>
            <w:hideMark/>
          </w:tcPr>
          <w:p w14:paraId="36455114"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MGOR</w:t>
            </w:r>
            <w:r w:rsidRPr="007C5C92">
              <w:rPr>
                <w:rFonts w:eastAsia="Times New Roman" w:cs="Times New Roman"/>
                <w:color w:val="000000"/>
                <w:sz w:val="20"/>
                <w:szCs w:val="20"/>
              </w:rPr>
              <w:t xml:space="preserve"> (logit)</w:t>
            </w:r>
          </w:p>
        </w:tc>
      </w:tr>
      <w:tr w:rsidR="00D665BB" w:rsidRPr="007C5C92" w14:paraId="15E4B5DD"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0222ACE8"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{"citationItems":[{"id":"ITEM-1","itemData":{"DOI":"10.1016/j.jairtraman.2022.102320","ISSN":"09696997","abstract":"The current study proposes a novel modeling approach for modeling airline demand. Specifically, we develop a joint panel generalized ordered probit model system with observed thresholds for modeling air passenger arrivals and departures while accommodating for the influence of observed and unobserved effects on airline demand across multiple time periods. The proposed model is estimated using airline data compiled by Bureau of Transportation Statistics for 510 airports in the US at a quarterly level for five annual time points. A host of independent variables including demographic characteristics, built environment characteristics, spatial and temporal factors are considered. From the model estimation, the important factors affecting airline demand include metropolitan statistical area (MSA) population, median income, education attainment, airport location and temporal factors. A validation exercise is also performed using a holdout sample to highlight the superior performance of the proposed model. Finally, to illustrate how the proposed demand model allows agencies to understand changes to airline demand with changes to independent variables, a policy analysis is conducted.","author":[{"dropping-particle":"","family":"Tirtha","given":"Sudipta Dey","non-dropping-particle":"","parse-names":false,"suffix":""},{"dropping-particle":"","family":"Bhowmik","given":"Tanmoy","non-dropping-particle":"","parse-names":false,"suffix":""},{"dropping-particle":"","family":"Eluru","given":"Naveen","non-dropping-particle":"","parse-names":false,"suffix":""}],"container-title":"Journal of Air Transport Management","id":"ITEM-1","issue":"September 2022","issued":{"date-parts":[["2023"]]},"page":"102320","publisher":"Elsevier Ltd","title":"Understanding the factors affecting airport level demand (arrivals and departures) using a novel modeling approach","type":"article-journal","volume":"106"},"uris":["http://www.mendeley.com/documents/?uuid=d7eeb39d-8ae9-46db-a4a9-8ee5acda20d3"]}],"mendeley":{"formattedCitation":"(Tirtha et al. 2023)","manualFormatting":"Tirtha et al. 2023","plainTextFormattedCitation":"(Tirtha et al. 2023)","previouslyFormattedCitation":"(Tirtha et al. 2023)"},"properties":{"noteIndex":0},"schema":"https://github.com/citation-style-language/schema/raw/master/csl-citation.json"}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Tirtha et al. 2023</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074FFA48"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To identify and quantify the impact of independent variables on airline demand</w:t>
            </w:r>
          </w:p>
        </w:tc>
        <w:tc>
          <w:tcPr>
            <w:tcW w:w="2970" w:type="dxa"/>
            <w:tcBorders>
              <w:top w:val="nil"/>
              <w:left w:val="nil"/>
              <w:bottom w:val="single" w:sz="4" w:space="0" w:color="auto"/>
              <w:right w:val="single" w:sz="4" w:space="0" w:color="auto"/>
            </w:tcBorders>
            <w:noWrap/>
            <w:vAlign w:val="center"/>
            <w:hideMark/>
          </w:tcPr>
          <w:p w14:paraId="22413FE7"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Bureau of Transportation Statistics (US; 2010-2018)</w:t>
            </w:r>
          </w:p>
        </w:tc>
        <w:tc>
          <w:tcPr>
            <w:tcW w:w="1620" w:type="dxa"/>
            <w:tcBorders>
              <w:top w:val="nil"/>
              <w:left w:val="nil"/>
              <w:bottom w:val="single" w:sz="4" w:space="0" w:color="auto"/>
              <w:right w:val="single" w:sz="4" w:space="0" w:color="auto"/>
            </w:tcBorders>
            <w:noWrap/>
            <w:vAlign w:val="center"/>
            <w:hideMark/>
          </w:tcPr>
          <w:p w14:paraId="3C3D3DAD"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A</w:t>
            </w:r>
            <w:r w:rsidRPr="00ED7903">
              <w:rPr>
                <w:rFonts w:eastAsia="Times New Roman" w:cs="Times New Roman"/>
                <w:color w:val="000000"/>
                <w:sz w:val="20"/>
                <w:szCs w:val="20"/>
              </w:rPr>
              <w:t xml:space="preserve">ir passenger </w:t>
            </w:r>
            <w:r w:rsidRPr="007C5C92">
              <w:rPr>
                <w:rFonts w:eastAsia="Times New Roman" w:cs="Times New Roman"/>
                <w:color w:val="000000"/>
                <w:sz w:val="20"/>
                <w:szCs w:val="20"/>
              </w:rPr>
              <w:t>departures</w:t>
            </w:r>
            <w:r w:rsidRPr="00ED7903">
              <w:rPr>
                <w:rFonts w:eastAsia="Times New Roman" w:cs="Times New Roman"/>
                <w:color w:val="000000"/>
                <w:sz w:val="20"/>
                <w:szCs w:val="20"/>
              </w:rPr>
              <w:t xml:space="preserve"> and arrivals (1</w:t>
            </w:r>
            <w:r>
              <w:rPr>
                <w:rFonts w:eastAsia="Times New Roman" w:cs="Times New Roman"/>
                <w:color w:val="000000"/>
                <w:sz w:val="20"/>
                <w:szCs w:val="20"/>
              </w:rPr>
              <w:t>4</w:t>
            </w:r>
            <w:r w:rsidRPr="00ED7903">
              <w:rPr>
                <w:rFonts w:eastAsia="Times New Roman" w:cs="Times New Roman"/>
                <w:color w:val="000000"/>
                <w:sz w:val="20"/>
                <w:szCs w:val="20"/>
              </w:rPr>
              <w:t>)</w:t>
            </w:r>
          </w:p>
        </w:tc>
        <w:tc>
          <w:tcPr>
            <w:tcW w:w="2250" w:type="dxa"/>
            <w:tcBorders>
              <w:top w:val="nil"/>
              <w:left w:val="nil"/>
              <w:bottom w:val="single" w:sz="4" w:space="0" w:color="auto"/>
              <w:right w:val="single" w:sz="4" w:space="0" w:color="auto"/>
            </w:tcBorders>
            <w:vAlign w:val="center"/>
          </w:tcPr>
          <w:p w14:paraId="1473EC5B" w14:textId="77777777" w:rsidR="00D665BB" w:rsidRPr="00475F17" w:rsidRDefault="00D665BB" w:rsidP="00B40864">
            <w:pPr>
              <w:spacing w:after="0"/>
              <w:rPr>
                <w:rFonts w:eastAsia="Times New Roman" w:cs="Times New Roman"/>
                <w:color w:val="000000"/>
                <w:sz w:val="20"/>
                <w:szCs w:val="20"/>
              </w:rPr>
            </w:pPr>
            <w:r w:rsidRPr="00475F17">
              <w:rPr>
                <w:sz w:val="20"/>
                <w:szCs w:val="20"/>
              </w:rPr>
              <w:t>Discretized log-transformed demand (1-2, 2-4 and so on)</w:t>
            </w:r>
          </w:p>
        </w:tc>
        <w:tc>
          <w:tcPr>
            <w:tcW w:w="1350" w:type="dxa"/>
            <w:tcBorders>
              <w:top w:val="nil"/>
              <w:left w:val="single" w:sz="4" w:space="0" w:color="auto"/>
              <w:bottom w:val="single" w:sz="4" w:space="0" w:color="auto"/>
              <w:right w:val="single" w:sz="4" w:space="0" w:color="auto"/>
            </w:tcBorders>
            <w:noWrap/>
            <w:vAlign w:val="center"/>
            <w:hideMark/>
          </w:tcPr>
          <w:p w14:paraId="3E3F1A67"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MGOR</w:t>
            </w:r>
            <w:r w:rsidRPr="007C5C92">
              <w:rPr>
                <w:rFonts w:eastAsia="Times New Roman" w:cs="Times New Roman"/>
                <w:color w:val="000000"/>
                <w:sz w:val="20"/>
                <w:szCs w:val="20"/>
              </w:rPr>
              <w:t xml:space="preserve"> (probit)</w:t>
            </w:r>
          </w:p>
        </w:tc>
      </w:tr>
      <w:tr w:rsidR="00D665BB" w:rsidRPr="007C5C92" w14:paraId="23254764"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0221ADF7"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{"citationItems":[{"id":"ITEM-1","itemData":{"DOI":"10.1016/j.trpro.2018.10.087","ISSN":"23521465","abstract":"Evaluating air transport service quality performance is of crucial importance both for countries' economic development and airline industry, which has a vital role in countries' development and competitiveness. The multicultural nature of this industry requires strong effort to offer services with good levels of quality. Airport facilities and services are the first experiences that a passenger receives upon arrival. Therefore, measuring the levels of airport services by evaluating passengers' satisfaction with them is essential to understand the needs of customers. In this work, we want to propose a tool for measuring airport service quality starting from the judgements expressed by passengers about some service aspects. The data supporting the work refer to the services offered by the Lamezia Terme airport, the most important airport of Calabria, in the South of Italy. The data were collected through face-to-face interviews addressed to departing passengers. Passengers expressed their perceptions according to an ordinal verbal scale about some service factors concerning aspects such as information, security, cleanliness and comfort. We propose an ordered logit model with the aim to investigate on the influence of the various service factors on the overall service quality, by considering passengers' satisfaction with the service factors and the overall service. Specifically, the model can be adopted for identifying the combinations of the satisfaction levels of the service factors that return the level of overall satisfaction desired by the operator. We propose some models for different groups of users in order to verify the differences in perceptions of service quality.","author":[{"dropping-particle":"","family":"Bellizzi","given":"Maria Grazia","non-dropping-particle":"","parse-names":false,"suffix":""},{"dropping-particle":"","family":"Eboli","given":"Laura","non-dropping-particle":"","parse-names":false,"suffix":""},{"dropping-particle":"","family":"Forciniti","given":"Carmen","non-dropping-particle":"","parse-names":false,"suffix":""},{"dropping-particle":"","family":"Mazzulla","given":"Gabriella","non-dropping-particle":"","parse-names":false,"suffix":""}],"container-title":"Transportation Research Procedia","id":"ITEM-1","issued":{"date-parts":[["2018"]]},"page":"147-154","publisher":"Elsevier B.V.","title":"Air Transport Passengers' Satisfaction: An Ordered Logit Model","type":"article-journal","volume":"33"},"uris":["http://www.mendeley.com/documents/?uuid=f8e73969-2a68-4ebf-9ba2-f132cabd420e"]}],"mendeley":{"formattedCitation":"(Bellizzi et al. 2018)","manualFormatting":"Bellizzi et al. 2018","plainTextFormattedCitation":"(Bellizzi et al. 2018)","previouslyFormattedCitation":"(Bellizzi et al. 2018)"},"properties":{"noteIndex":0},"schema":"https://github.com/citation-style-language/schema/raw/master/csl-citation.json"}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Bellizzi et al. 2018</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611B8591" w14:textId="443E77DA"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identify the factors </w:t>
            </w:r>
            <w:r w:rsidR="00F17755">
              <w:rPr>
                <w:rFonts w:eastAsia="Times New Roman" w:cs="Times New Roman"/>
                <w:color w:val="000000"/>
                <w:sz w:val="20"/>
                <w:szCs w:val="20"/>
              </w:rPr>
              <w:t>influencing</w:t>
            </w:r>
            <w:r w:rsidR="00F17755" w:rsidRPr="00ED7903">
              <w:rPr>
                <w:rFonts w:eastAsia="Times New Roman" w:cs="Times New Roman"/>
                <w:color w:val="000000"/>
                <w:sz w:val="20"/>
                <w:szCs w:val="20"/>
              </w:rPr>
              <w:t xml:space="preserve"> </w:t>
            </w:r>
            <w:r w:rsidRPr="00ED7903">
              <w:rPr>
                <w:rFonts w:eastAsia="Times New Roman" w:cs="Times New Roman"/>
                <w:color w:val="000000"/>
                <w:sz w:val="20"/>
                <w:szCs w:val="20"/>
              </w:rPr>
              <w:t>air passenger satisfaction</w:t>
            </w:r>
          </w:p>
        </w:tc>
        <w:tc>
          <w:tcPr>
            <w:tcW w:w="2970" w:type="dxa"/>
            <w:tcBorders>
              <w:top w:val="nil"/>
              <w:left w:val="nil"/>
              <w:bottom w:val="single" w:sz="4" w:space="0" w:color="auto"/>
              <w:right w:val="single" w:sz="4" w:space="0" w:color="auto"/>
            </w:tcBorders>
            <w:noWrap/>
            <w:vAlign w:val="center"/>
            <w:hideMark/>
          </w:tcPr>
          <w:p w14:paraId="77DFE54A"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Survey data (Italy; 2012-2014)</w:t>
            </w:r>
          </w:p>
        </w:tc>
        <w:tc>
          <w:tcPr>
            <w:tcW w:w="1620" w:type="dxa"/>
            <w:tcBorders>
              <w:top w:val="nil"/>
              <w:left w:val="nil"/>
              <w:bottom w:val="single" w:sz="4" w:space="0" w:color="auto"/>
              <w:right w:val="single" w:sz="4" w:space="0" w:color="auto"/>
            </w:tcBorders>
            <w:noWrap/>
            <w:vAlign w:val="center"/>
            <w:hideMark/>
          </w:tcPr>
          <w:p w14:paraId="636C4204"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Passenger satisfaction (5)</w:t>
            </w:r>
          </w:p>
        </w:tc>
        <w:tc>
          <w:tcPr>
            <w:tcW w:w="2250" w:type="dxa"/>
            <w:tcBorders>
              <w:top w:val="nil"/>
              <w:left w:val="nil"/>
              <w:bottom w:val="single" w:sz="4" w:space="0" w:color="auto"/>
              <w:right w:val="single" w:sz="4" w:space="0" w:color="auto"/>
            </w:tcBorders>
            <w:vAlign w:val="center"/>
          </w:tcPr>
          <w:p w14:paraId="4B2D704A" w14:textId="77777777" w:rsidR="00D665BB" w:rsidRPr="00475F17" w:rsidRDefault="00D665BB" w:rsidP="00B40864">
            <w:pPr>
              <w:spacing w:after="0"/>
              <w:rPr>
                <w:rFonts w:eastAsia="Times New Roman" w:cs="Times New Roman"/>
                <w:color w:val="000000"/>
                <w:sz w:val="20"/>
                <w:szCs w:val="20"/>
              </w:rPr>
            </w:pPr>
            <w:r w:rsidRPr="00475F17">
              <w:rPr>
                <w:sz w:val="20"/>
                <w:szCs w:val="20"/>
              </w:rPr>
              <w:t>Very poor to Excellent</w:t>
            </w:r>
          </w:p>
        </w:tc>
        <w:tc>
          <w:tcPr>
            <w:tcW w:w="1350" w:type="dxa"/>
            <w:tcBorders>
              <w:top w:val="nil"/>
              <w:left w:val="single" w:sz="4" w:space="0" w:color="auto"/>
              <w:bottom w:val="single" w:sz="4" w:space="0" w:color="auto"/>
              <w:right w:val="single" w:sz="4" w:space="0" w:color="auto"/>
            </w:tcBorders>
            <w:noWrap/>
            <w:vAlign w:val="center"/>
            <w:hideMark/>
          </w:tcPr>
          <w:p w14:paraId="2939A2BF"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OR</w:t>
            </w:r>
            <w:r w:rsidRPr="007C5C92">
              <w:rPr>
                <w:rFonts w:eastAsia="Times New Roman" w:cs="Times New Roman"/>
                <w:color w:val="000000"/>
                <w:sz w:val="20"/>
                <w:szCs w:val="20"/>
              </w:rPr>
              <w:t xml:space="preserve"> (logit)</w:t>
            </w:r>
          </w:p>
        </w:tc>
      </w:tr>
      <w:tr w:rsidR="00D665BB" w:rsidRPr="007C5C92" w14:paraId="42489734"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68307E2C"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{"citationItems":[{"id":"ITEM-1","itemData":{"DOI":"10.1016/j.trc.2018.12.016","ISSN":"0968090X","abstract":"The availability of ridehailing services, such as those provided by Uber and Lyft in the U.S. market, as well as the share of trips made by these services, are continuously growing. Yet, the factors affecting the frequency of use of these services are not well understood. In this paper, we investigate how the frequency of use of ridehailing varies across segments of the California population and under various circumstances. We analyze data from the California Millennials Dataset (N = 1975), collected in fall 2015 through an online survey administered to both millennials and members of the preceding Generation X. We estimate an ordered probit model with sample selection and a zero-inflated ordered probit model with correlated error terms to distinguish the factors affecting the frequency of use of ridehailing from those affecting the adoption of these services. The results are consistent across models: sociodemographic variables are important predictors of service adoption but do not explain much of the variation in the frequency of use. Land use mix and activity density respectively decrease and increase the frequency of ridehailing. The results also confirm that individuals who frequently use smartphone apps to manage other aspects of their travel (e.g. to select a route or check traffic) are more likely to adopt ridehailing and use it more often. This is also true for long-distance travelers, in particular, those who frequently travel by plane for leisure purposes. Individuals with higher willingness to pay to reduce their travel time use ridehailing more often. Those with stronger preferences to own a personal vehicle and those with stronger concerns about the safety/security of ridehailing are less likely to be frequent users. These results provide new insights into the adoption and use of ridehailing that could help to inform planning and forecasting efforts.","author":[{"dropping-particle":"","family":"Alemi","given":"Farzad","non-dropping-particle":"","parse-names":false,"suffix":""},{"dropping-particle":"","family":"Circella","given":"Giovanni","non-dropping-particle":"","parse-names":false,"suffix":""},{"dropping-particle":"","family":"Mokhtarian","given":"Patricia","non-dropping-particle":"","parse-names":false,"suffix":""},{"dropping-particle":"","family":"Handy","given":"Susan","non-dropping-particle":"","parse-names":false,"suffix":""}],"container-title":"Transportation Research Part C: Emerging Technologies","id":"ITEM-1","issue":"May 2018","issued":{"date-parts":[["2019"]]},"page":"233-248","publisher":"Elsevier","title":"What drives the use of ridehailing in California? Ordered probit models of the usage frequency of Uber and Lyft","type":"article-journal","volume":"102"},"uris":["http://www.mendeley.com/documents/?uuid=c5b98b30-0598-431d-a11d-fb86e6405554"]}],"mendeley":{"formattedCitation":"(Alemi et al. 2019)","manualFormatting":"Alemi et al. 2019","plainTextFormattedCitation":"(Alemi et al. 2019)","previouslyFormattedCitation":"(Alemi et al. 2019)"},"properties":{"noteIndex":0},"schema":"https://github.com/citation-style-language/schema/raw/master/csl-citation.json"}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Alemi et al. 2019</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27655CB1" w14:textId="30BDED68"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To identify the factors</w:t>
            </w:r>
            <w:r w:rsidR="00777F8E">
              <w:rPr>
                <w:rFonts w:eastAsia="Times New Roman" w:cs="Times New Roman"/>
                <w:color w:val="000000"/>
                <w:sz w:val="20"/>
                <w:szCs w:val="20"/>
              </w:rPr>
              <w:t xml:space="preserve">/variables impacting </w:t>
            </w:r>
            <w:r w:rsidRPr="00ED7903">
              <w:rPr>
                <w:rFonts w:eastAsia="Times New Roman" w:cs="Times New Roman"/>
                <w:color w:val="000000"/>
                <w:sz w:val="20"/>
                <w:szCs w:val="20"/>
              </w:rPr>
              <w:t xml:space="preserve"> the frequency of ride</w:t>
            </w:r>
            <w:r w:rsidRPr="007C5C92">
              <w:rPr>
                <w:rFonts w:eastAsia="Times New Roman" w:cs="Times New Roman"/>
                <w:color w:val="000000"/>
                <w:sz w:val="20"/>
                <w:szCs w:val="20"/>
              </w:rPr>
              <w:t>-</w:t>
            </w:r>
            <w:r w:rsidRPr="00ED7903">
              <w:rPr>
                <w:rFonts w:eastAsia="Times New Roman" w:cs="Times New Roman"/>
                <w:color w:val="000000"/>
                <w:sz w:val="20"/>
                <w:szCs w:val="20"/>
              </w:rPr>
              <w:t>hailing service usage</w:t>
            </w:r>
          </w:p>
        </w:tc>
        <w:tc>
          <w:tcPr>
            <w:tcW w:w="2970" w:type="dxa"/>
            <w:tcBorders>
              <w:top w:val="nil"/>
              <w:left w:val="nil"/>
              <w:bottom w:val="single" w:sz="4" w:space="0" w:color="auto"/>
              <w:right w:val="single" w:sz="4" w:space="0" w:color="auto"/>
            </w:tcBorders>
            <w:noWrap/>
            <w:vAlign w:val="center"/>
            <w:hideMark/>
          </w:tcPr>
          <w:p w14:paraId="76A1ABB1"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Survey data (California, US)</w:t>
            </w:r>
          </w:p>
        </w:tc>
        <w:tc>
          <w:tcPr>
            <w:tcW w:w="1620" w:type="dxa"/>
            <w:tcBorders>
              <w:top w:val="nil"/>
              <w:left w:val="nil"/>
              <w:bottom w:val="single" w:sz="4" w:space="0" w:color="auto"/>
              <w:right w:val="single" w:sz="4" w:space="0" w:color="auto"/>
            </w:tcBorders>
            <w:noWrap/>
            <w:vAlign w:val="center"/>
            <w:hideMark/>
          </w:tcPr>
          <w:p w14:paraId="3344AAC0"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Ride</w:t>
            </w:r>
            <w:r w:rsidRPr="007C5C92">
              <w:rPr>
                <w:rFonts w:eastAsia="Times New Roman" w:cs="Times New Roman"/>
                <w:color w:val="000000"/>
                <w:sz w:val="20"/>
                <w:szCs w:val="20"/>
              </w:rPr>
              <w:t>-</w:t>
            </w:r>
            <w:r w:rsidRPr="00ED7903">
              <w:rPr>
                <w:rFonts w:eastAsia="Times New Roman" w:cs="Times New Roman"/>
                <w:color w:val="000000"/>
                <w:sz w:val="20"/>
                <w:szCs w:val="20"/>
              </w:rPr>
              <w:t>hailing service usage (3)</w:t>
            </w:r>
          </w:p>
        </w:tc>
        <w:tc>
          <w:tcPr>
            <w:tcW w:w="2250" w:type="dxa"/>
            <w:tcBorders>
              <w:top w:val="nil"/>
              <w:left w:val="nil"/>
              <w:bottom w:val="single" w:sz="4" w:space="0" w:color="auto"/>
              <w:right w:val="single" w:sz="4" w:space="0" w:color="auto"/>
            </w:tcBorders>
            <w:vAlign w:val="center"/>
          </w:tcPr>
          <w:p w14:paraId="6C574E8E" w14:textId="77777777" w:rsidR="00D665BB" w:rsidRPr="00475F17" w:rsidRDefault="00D665BB" w:rsidP="00B40864">
            <w:pPr>
              <w:spacing w:after="0"/>
              <w:rPr>
                <w:rFonts w:eastAsia="Times New Roman" w:cs="Times New Roman"/>
                <w:color w:val="000000"/>
                <w:sz w:val="20"/>
                <w:szCs w:val="20"/>
              </w:rPr>
            </w:pPr>
            <w:r w:rsidRPr="00475F17">
              <w:rPr>
                <w:sz w:val="20"/>
                <w:szCs w:val="20"/>
              </w:rPr>
              <w:t>Non-user, Infrequent user, and frequent user</w:t>
            </w:r>
          </w:p>
        </w:tc>
        <w:tc>
          <w:tcPr>
            <w:tcW w:w="1350" w:type="dxa"/>
            <w:tcBorders>
              <w:top w:val="nil"/>
              <w:left w:val="single" w:sz="4" w:space="0" w:color="auto"/>
              <w:bottom w:val="single" w:sz="4" w:space="0" w:color="auto"/>
              <w:right w:val="single" w:sz="4" w:space="0" w:color="auto"/>
            </w:tcBorders>
            <w:noWrap/>
            <w:vAlign w:val="center"/>
            <w:hideMark/>
          </w:tcPr>
          <w:p w14:paraId="6C6D9060"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OR</w:t>
            </w:r>
            <w:r w:rsidRPr="007C5C92">
              <w:rPr>
                <w:rFonts w:eastAsia="Times New Roman" w:cs="Times New Roman"/>
                <w:color w:val="000000"/>
                <w:sz w:val="20"/>
                <w:szCs w:val="20"/>
              </w:rPr>
              <w:t xml:space="preserve"> (probit)</w:t>
            </w:r>
          </w:p>
        </w:tc>
      </w:tr>
      <w:tr w:rsidR="00D665BB" w:rsidRPr="007C5C92" w14:paraId="4EBBEC1F" w14:textId="77777777" w:rsidTr="000E4F21">
        <w:trPr>
          <w:trHeight w:val="290"/>
        </w:trPr>
        <w:tc>
          <w:tcPr>
            <w:tcW w:w="12955" w:type="dxa"/>
            <w:gridSpan w:val="6"/>
            <w:tcBorders>
              <w:top w:val="nil"/>
              <w:left w:val="single" w:sz="4" w:space="0" w:color="auto"/>
              <w:bottom w:val="single" w:sz="4" w:space="0" w:color="auto"/>
              <w:right w:val="single" w:sz="4" w:space="0" w:color="auto"/>
            </w:tcBorders>
          </w:tcPr>
          <w:p w14:paraId="75DD881E" w14:textId="77777777" w:rsidR="00D665BB" w:rsidRPr="000226D2" w:rsidRDefault="00D665BB" w:rsidP="000E4F21">
            <w:pPr>
              <w:spacing w:after="0"/>
              <w:rPr>
                <w:rFonts w:eastAsia="Times New Roman" w:cs="Times New Roman"/>
                <w:b/>
                <w:bCs/>
                <w:i/>
                <w:iCs/>
                <w:color w:val="000000"/>
                <w:sz w:val="20"/>
                <w:szCs w:val="20"/>
              </w:rPr>
            </w:pPr>
            <w:r w:rsidRPr="000226D2">
              <w:rPr>
                <w:rFonts w:eastAsia="Times New Roman" w:cs="Times New Roman"/>
                <w:b/>
                <w:bCs/>
                <w:i/>
                <w:iCs/>
                <w:color w:val="000000"/>
                <w:sz w:val="20"/>
                <w:szCs w:val="20"/>
              </w:rPr>
              <w:t>Studies in other disciplines</w:t>
            </w:r>
          </w:p>
        </w:tc>
      </w:tr>
      <w:tr w:rsidR="00D665BB" w:rsidRPr="007C5C92" w14:paraId="1DEEEAD9"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1A5E399B"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{"citationItems":[{"id":"ITEM-1","itemData":{"DOI":"10.1007/s11205-015-1061-z","ISSN":"15730921","abstract":"In a previous exploratory analysis of the 2009 EU-SILC survey and the Eurostat statistics database, the authors tried to reveal to what extent self-perceived poverty in Europe is associated with specific household socioeconomic characteristics and particular aspects of household/community social capital endowment, by means of a multiple correspondence analysis. Such an analysis has appeared to be a useful tool to disclose the primary risk factors of family poverty status and, in particular, it showed that self-perceived poverty (measured by the proxy variable “ability to make ends meet”) is strongly associated not only with household socioeconomic characteristics, but also with the indicators commonly recognized as elementary proxies of household/community social capital endowment. The aim of the present paper is to capture the effect of social capital on household subjective poverty. More precisely, a generalized ordered logit model is estimated, in order to highlight to what extent: (a) self-perception of poverty in Europe is affected by the respondent/household socioeconomic characteristics and by household/community social capital endowment; (b) probabilities corresponding to response categories vary according to different levels of predictors; (c) differences among European countries in terms of self-perception of poverty may be related to different levels of social capital endowment. The results are very encouraging and confirm that social capital could be used by local and central governments as a further key function, in addition to the traditional socioeconomic ones for planning poverty reduction policies.","author":[{"dropping-particle":"","family":"Guagnano","given":"Giuseppina","non-dropping-particle":"","parse-names":false,"suffix":""},{"dropping-particle":"","family":"Santarelli","given":"Elisabetta","non-dropping-particle":"","parse-names":false,"suffix":""},{"dropping-particle":"","family":"Santini","given":"Isabella","non-dropping-particle":"","parse-names":false,"suffix":""}],"container-title":"Social Indicators Research","id":"ITEM-1","issue":"2","issued":{"date-parts":[["2016"]]},"page":"881-907","publisher":"Springer Netherlands","title":"Can Social Capital Affect Subjective Poverty in Europe? An Empirical Analysis Based on a Generalized Ordered Logit Model","type":"article-journal","volume":"128"},"uris":["http://www.mendeley.com/documents/?uuid=c57d57bc-7187-42dd-abcb-e5a27cbd29be"]}],"mendeley":{"formattedCitation":"(Guagnano et al. 2016)","manualFormatting":"Guagnano et al. 2016","plainTextFormattedCitation":"(Guagnano et al. 2016)","previouslyFormattedCitation":"(Guagnano et al. 2016)"},"properties":{"noteIndex":0},"schema":"https://github.com/citation-style-language/schema/raw/master/csl-citation.json"}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Guagnano et al. 2016</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2BD4A8B5" w14:textId="014982EE"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identify the </w:t>
            </w:r>
            <w:r w:rsidR="00F9190C" w:rsidRPr="00ED7903">
              <w:rPr>
                <w:rFonts w:eastAsia="Times New Roman" w:cs="Times New Roman"/>
                <w:color w:val="000000"/>
                <w:sz w:val="20"/>
                <w:szCs w:val="20"/>
              </w:rPr>
              <w:t>association</w:t>
            </w:r>
            <w:r w:rsidRPr="00ED7903">
              <w:rPr>
                <w:rFonts w:eastAsia="Times New Roman" w:cs="Times New Roman"/>
                <w:color w:val="000000"/>
                <w:sz w:val="20"/>
                <w:szCs w:val="20"/>
              </w:rPr>
              <w:t xml:space="preserve"> between social capital and subjective poverty </w:t>
            </w:r>
          </w:p>
        </w:tc>
        <w:tc>
          <w:tcPr>
            <w:tcW w:w="2970" w:type="dxa"/>
            <w:tcBorders>
              <w:top w:val="nil"/>
              <w:left w:val="nil"/>
              <w:bottom w:val="single" w:sz="4" w:space="0" w:color="auto"/>
              <w:right w:val="single" w:sz="4" w:space="0" w:color="auto"/>
            </w:tcBorders>
            <w:noWrap/>
            <w:vAlign w:val="center"/>
            <w:hideMark/>
          </w:tcPr>
          <w:p w14:paraId="1858E07A"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EU-SILC survey and Eurostat statistics database (Europe; 2009)</w:t>
            </w:r>
          </w:p>
        </w:tc>
        <w:tc>
          <w:tcPr>
            <w:tcW w:w="1620" w:type="dxa"/>
            <w:tcBorders>
              <w:top w:val="nil"/>
              <w:left w:val="nil"/>
              <w:bottom w:val="single" w:sz="4" w:space="0" w:color="auto"/>
              <w:right w:val="single" w:sz="4" w:space="0" w:color="auto"/>
            </w:tcBorders>
            <w:noWrap/>
            <w:vAlign w:val="center"/>
            <w:hideMark/>
          </w:tcPr>
          <w:p w14:paraId="24A86F0E"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Subjective poverty (6)</w:t>
            </w:r>
          </w:p>
        </w:tc>
        <w:tc>
          <w:tcPr>
            <w:tcW w:w="2250" w:type="dxa"/>
            <w:tcBorders>
              <w:top w:val="nil"/>
              <w:left w:val="nil"/>
              <w:bottom w:val="single" w:sz="4" w:space="0" w:color="auto"/>
              <w:right w:val="single" w:sz="4" w:space="0" w:color="auto"/>
            </w:tcBorders>
            <w:vAlign w:val="center"/>
          </w:tcPr>
          <w:p w14:paraId="6CB9318B" w14:textId="77777777" w:rsidR="00D665BB" w:rsidRPr="00475F17" w:rsidRDefault="00D665BB" w:rsidP="00B40864">
            <w:pPr>
              <w:spacing w:after="0"/>
              <w:rPr>
                <w:rFonts w:eastAsia="Times New Roman" w:cs="Times New Roman"/>
                <w:color w:val="000000"/>
                <w:sz w:val="20"/>
                <w:szCs w:val="18"/>
              </w:rPr>
            </w:pPr>
            <w:r w:rsidRPr="00475F17">
              <w:rPr>
                <w:sz w:val="20"/>
                <w:szCs w:val="18"/>
              </w:rPr>
              <w:t>Very easily, easily, fairly easily, with some difficulty, with difficulty and with great difficulty</w:t>
            </w:r>
          </w:p>
        </w:tc>
        <w:tc>
          <w:tcPr>
            <w:tcW w:w="1350" w:type="dxa"/>
            <w:tcBorders>
              <w:top w:val="nil"/>
              <w:left w:val="single" w:sz="4" w:space="0" w:color="auto"/>
              <w:bottom w:val="single" w:sz="4" w:space="0" w:color="auto"/>
              <w:right w:val="single" w:sz="4" w:space="0" w:color="auto"/>
            </w:tcBorders>
            <w:noWrap/>
            <w:vAlign w:val="center"/>
            <w:hideMark/>
          </w:tcPr>
          <w:p w14:paraId="17AE89F3"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PPO</w:t>
            </w:r>
            <w:r w:rsidRPr="007C5C92">
              <w:rPr>
                <w:rFonts w:eastAsia="Times New Roman" w:cs="Times New Roman"/>
                <w:color w:val="000000"/>
                <w:sz w:val="20"/>
                <w:szCs w:val="20"/>
              </w:rPr>
              <w:t xml:space="preserve"> (logit)</w:t>
            </w:r>
          </w:p>
        </w:tc>
      </w:tr>
      <w:tr w:rsidR="00D665BB" w:rsidRPr="007C5C92" w14:paraId="0140214E"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71B449D1"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{"citationItems":[{"id":"ITEM-1","itemData":{"DOI":"10.1007/s11187-011-9380-1","ISSN":"15730913","abstract":"The job satisfaction of self-employed and paid-employed workers is analyzed using the European Community Household Panel for the EU-15 covering the years 1994-2001. We distinguish between two types of job satisfaction: job satisfaction in terms of type of work and job satisfaction in terms of job security. Findings from our generalized ordered logit regressions indicate that self-employed individuals as compared to paid employees are more likely to be satisfied with their present jobs in terms of type of work and less likely to be satisfied in terms of job security. The findings also provide many insights into the determinants of the two types of job satisfaction for both self-employed and paid-employed workers. © 2011 The Author(s).","author":[{"dropping-particle":"","family":"Millán","given":"J. María","non-dropping-particle":"","parse-names":false,"suffix":""},{"dropping-particle":"","family":"Hessels","given":"Jolanda","non-dropping-particle":"","parse-names":false,"suffix":""},{"dropping-particle":"","family":"Thurik","given":"Roy","non-dropping-particle":"","parse-names":false,"suffix":""},{"dropping-particle":"","family":"Aguado","given":"Rafael","non-dropping-particle":"","parse-names":false,"suffix":""}],"container-title":"Small Business Economics","id":"ITEM-1","issue":"3","issued":{"date-parts":[["2013"]]},"page":"651-670","title":"Determinants of job satisfaction: A European comparison of self-employed and paid employees","type":"article-journal","volume":"40"},"uris":["http://www.mendeley.com/documents/?uuid=0b9947c4-f3c1-46b1-a870-f06239c5fc99"]}],"mendeley":{"formattedCitation":"(Millán et al. 2013)","manualFormatting":"Millán et al. 2013","plainTextFormattedCitation":"(Millán et al. 2013)","previouslyFormattedCitation":"(Millán et al. 2013)"},"properties":{"noteIndex":0},"schema":"https://github.com/citation-style-language/schema/raw/master/csl-citation.json"}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Millán et al. 2013</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2C80BF9A"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To determine the factors influencing job satisfaction</w:t>
            </w:r>
          </w:p>
        </w:tc>
        <w:tc>
          <w:tcPr>
            <w:tcW w:w="2970" w:type="dxa"/>
            <w:tcBorders>
              <w:top w:val="nil"/>
              <w:left w:val="nil"/>
              <w:bottom w:val="single" w:sz="4" w:space="0" w:color="auto"/>
              <w:right w:val="single" w:sz="4" w:space="0" w:color="auto"/>
            </w:tcBorders>
            <w:noWrap/>
            <w:vAlign w:val="center"/>
            <w:hideMark/>
          </w:tcPr>
          <w:p w14:paraId="62434757"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European Community Household Panel (Europe; 1994-2001)</w:t>
            </w:r>
          </w:p>
        </w:tc>
        <w:tc>
          <w:tcPr>
            <w:tcW w:w="1620" w:type="dxa"/>
            <w:tcBorders>
              <w:top w:val="nil"/>
              <w:left w:val="nil"/>
              <w:bottom w:val="single" w:sz="4" w:space="0" w:color="auto"/>
              <w:right w:val="single" w:sz="4" w:space="0" w:color="auto"/>
            </w:tcBorders>
            <w:noWrap/>
            <w:vAlign w:val="center"/>
            <w:hideMark/>
          </w:tcPr>
          <w:p w14:paraId="4A14D0FC"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Job satisfaction (3)</w:t>
            </w:r>
          </w:p>
        </w:tc>
        <w:tc>
          <w:tcPr>
            <w:tcW w:w="2250" w:type="dxa"/>
            <w:tcBorders>
              <w:top w:val="nil"/>
              <w:left w:val="nil"/>
              <w:bottom w:val="single" w:sz="4" w:space="0" w:color="auto"/>
              <w:right w:val="single" w:sz="4" w:space="0" w:color="auto"/>
            </w:tcBorders>
            <w:vAlign w:val="center"/>
          </w:tcPr>
          <w:p w14:paraId="1BA24178" w14:textId="77777777" w:rsidR="00D665BB" w:rsidRPr="00475F17" w:rsidRDefault="00D665BB" w:rsidP="00B40864">
            <w:pPr>
              <w:spacing w:after="0"/>
              <w:rPr>
                <w:rFonts w:eastAsia="Times New Roman" w:cs="Times New Roman"/>
                <w:color w:val="000000"/>
                <w:sz w:val="20"/>
                <w:szCs w:val="18"/>
              </w:rPr>
            </w:pPr>
            <w:r w:rsidRPr="00475F17">
              <w:rPr>
                <w:sz w:val="20"/>
                <w:szCs w:val="18"/>
              </w:rPr>
              <w:t>Dissatisfied, neither dissatisfied nor satisfied and satisfied</w:t>
            </w:r>
          </w:p>
        </w:tc>
        <w:tc>
          <w:tcPr>
            <w:tcW w:w="1350" w:type="dxa"/>
            <w:tcBorders>
              <w:top w:val="nil"/>
              <w:left w:val="single" w:sz="4" w:space="0" w:color="auto"/>
              <w:bottom w:val="single" w:sz="4" w:space="0" w:color="auto"/>
              <w:right w:val="single" w:sz="4" w:space="0" w:color="auto"/>
            </w:tcBorders>
            <w:noWrap/>
            <w:vAlign w:val="center"/>
            <w:hideMark/>
          </w:tcPr>
          <w:p w14:paraId="3AB65DFA"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PPO</w:t>
            </w:r>
            <w:r w:rsidRPr="007C5C92">
              <w:rPr>
                <w:rFonts w:eastAsia="Times New Roman" w:cs="Times New Roman"/>
                <w:color w:val="000000"/>
                <w:sz w:val="20"/>
                <w:szCs w:val="20"/>
              </w:rPr>
              <w:t xml:space="preserve"> (logit)</w:t>
            </w:r>
          </w:p>
        </w:tc>
      </w:tr>
      <w:tr w:rsidR="00D665BB" w:rsidRPr="007C5C92" w14:paraId="3A766D41"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144A6CE1"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{"citationItems":[{"id":"ITEM-1","itemData":{"DOI":"10.3390/su12219302","ISSN":"20711050","abstract":"The hotel market has become extremely competitive over the past years. Hotels try to differentiate themselves through their services and facilities. To make the best choice when searching for accommodation, guests increasingly use rating systems of booking sites. Using an ordered logit model (OLM), we identify, in our study, a sample that comprises of 635 hotels from Romania. These are the hotel facilities that significantly influence customer review scores (as an expression of customer satisfaction) on booking.com, the most widespread rating system. We also identify whether their impact on intervals of satisfaction levels vary. Some explanatory variables invalidate the Brant test for proportional odds assumption. Thus, for the final estimates, we use a generalized ordered logit model (GOLOGIT). The results show that food-related facilities, restaurants, and complimentary breakfasts, are very significant for customer ratings. Relevant hotel common facilities are the pool and parking spaces, while for the room—the flat-screen TV. It is interesting to note the negative influence of pets, which seem to disturb other tourists. In the sustainability category, only facilities for disabled people and electric vehicle charging stations are relevant.","author":[{"dropping-particle":"","family":"Abrudan","given":"Ioana Nicoleta","non-dropping-particle":"","parse-names":false,"suffix":""},{"dropping-particle":"","family":"Pop","given":"Ciprian Marcel","non-dropping-particle":"","parse-names":false,"suffix":""},{"dropping-particle":"","family":"Lazăr","given":"Paul Sorin","non-dropping-particle":"","parse-names":false,"suffix":""}],"container-title":"Sustainability (Switzerland)","id":"ITEM-1","issue":"21","issued":{"date-parts":[["2020"]]},"page":"1-21","title":"Using a general ordered logit model to explain the influence of hotel facilities, general and sustainability-related, on customer ratings","type":"article-journal","volume":"12"},"uris":["http://www.mendeley.com/documents/?uuid=368a87c9-ea5c-41fd-88e5-6d2083a4c08d"]}],"mendeley":{"formattedCitation":"(Abrudan et al. 2020)","manualFormatting":"Abrudan et al. 2020","plainTextFormattedCitation":"(Abrudan et al. 2020)","previouslyFormattedCitation":"(Abrudan et al. 2020)"},"properties":{"noteIndex":0},"schema":"https://github.com/citation-style-language/schema/raw/master/csl-citation.json"}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Abrudan et al. 2020</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063FA86B" w14:textId="63BE5AE8"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study </w:t>
            </w:r>
            <w:r w:rsidR="00F9190C">
              <w:rPr>
                <w:rFonts w:eastAsia="Times New Roman" w:cs="Times New Roman"/>
                <w:color w:val="000000"/>
                <w:sz w:val="20"/>
                <w:szCs w:val="20"/>
              </w:rPr>
              <w:t>how</w:t>
            </w:r>
            <w:r w:rsidRPr="00ED7903">
              <w:rPr>
                <w:rFonts w:eastAsia="Times New Roman" w:cs="Times New Roman"/>
                <w:color w:val="000000"/>
                <w:sz w:val="20"/>
                <w:szCs w:val="20"/>
              </w:rPr>
              <w:t xml:space="preserve"> hotel facilities </w:t>
            </w:r>
            <w:r w:rsidR="00F9190C">
              <w:rPr>
                <w:rFonts w:eastAsia="Times New Roman" w:cs="Times New Roman"/>
                <w:color w:val="000000"/>
                <w:sz w:val="20"/>
                <w:szCs w:val="20"/>
              </w:rPr>
              <w:t>impact</w:t>
            </w:r>
            <w:r w:rsidR="00F9190C" w:rsidRPr="00ED7903">
              <w:rPr>
                <w:rFonts w:eastAsia="Times New Roman" w:cs="Times New Roman"/>
                <w:color w:val="000000"/>
                <w:sz w:val="20"/>
                <w:szCs w:val="20"/>
              </w:rPr>
              <w:t xml:space="preserve"> </w:t>
            </w:r>
            <w:r w:rsidRPr="00ED7903">
              <w:rPr>
                <w:rFonts w:eastAsia="Times New Roman" w:cs="Times New Roman"/>
                <w:color w:val="000000"/>
                <w:sz w:val="20"/>
                <w:szCs w:val="20"/>
              </w:rPr>
              <w:t>customer rating</w:t>
            </w:r>
          </w:p>
        </w:tc>
        <w:tc>
          <w:tcPr>
            <w:tcW w:w="2970" w:type="dxa"/>
            <w:tcBorders>
              <w:top w:val="nil"/>
              <w:left w:val="nil"/>
              <w:bottom w:val="single" w:sz="4" w:space="0" w:color="auto"/>
              <w:right w:val="single" w:sz="4" w:space="0" w:color="auto"/>
            </w:tcBorders>
            <w:noWrap/>
            <w:vAlign w:val="center"/>
            <w:hideMark/>
          </w:tcPr>
          <w:p w14:paraId="532CC415"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Online data (Romania; 2019)</w:t>
            </w:r>
          </w:p>
        </w:tc>
        <w:tc>
          <w:tcPr>
            <w:tcW w:w="1620" w:type="dxa"/>
            <w:tcBorders>
              <w:top w:val="nil"/>
              <w:left w:val="nil"/>
              <w:bottom w:val="single" w:sz="4" w:space="0" w:color="auto"/>
              <w:right w:val="single" w:sz="4" w:space="0" w:color="auto"/>
            </w:tcBorders>
            <w:noWrap/>
            <w:vAlign w:val="center"/>
            <w:hideMark/>
          </w:tcPr>
          <w:p w14:paraId="776B4C74"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Customer rating (4)</w:t>
            </w:r>
          </w:p>
        </w:tc>
        <w:tc>
          <w:tcPr>
            <w:tcW w:w="2250" w:type="dxa"/>
            <w:tcBorders>
              <w:top w:val="nil"/>
              <w:left w:val="nil"/>
              <w:bottom w:val="single" w:sz="4" w:space="0" w:color="auto"/>
              <w:right w:val="single" w:sz="4" w:space="0" w:color="auto"/>
            </w:tcBorders>
            <w:vAlign w:val="center"/>
          </w:tcPr>
          <w:p w14:paraId="6A60F92C" w14:textId="77777777" w:rsidR="00D665BB" w:rsidRPr="00475F17" w:rsidRDefault="00D665BB" w:rsidP="00B40864">
            <w:pPr>
              <w:spacing w:after="0"/>
              <w:rPr>
                <w:rFonts w:eastAsia="Times New Roman" w:cs="Times New Roman"/>
                <w:color w:val="000000"/>
                <w:sz w:val="20"/>
                <w:szCs w:val="18"/>
              </w:rPr>
            </w:pPr>
            <w:r w:rsidRPr="00475F17">
              <w:rPr>
                <w:sz w:val="20"/>
                <w:szCs w:val="18"/>
              </w:rPr>
              <w:t>Acceptable, medium, good, and excellent</w:t>
            </w:r>
          </w:p>
        </w:tc>
        <w:tc>
          <w:tcPr>
            <w:tcW w:w="1350" w:type="dxa"/>
            <w:tcBorders>
              <w:top w:val="nil"/>
              <w:left w:val="single" w:sz="4" w:space="0" w:color="auto"/>
              <w:bottom w:val="single" w:sz="4" w:space="0" w:color="auto"/>
              <w:right w:val="single" w:sz="4" w:space="0" w:color="auto"/>
            </w:tcBorders>
            <w:noWrap/>
            <w:vAlign w:val="center"/>
            <w:hideMark/>
          </w:tcPr>
          <w:p w14:paraId="2543F0B7"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PPO</w:t>
            </w:r>
            <w:r w:rsidRPr="007C5C92">
              <w:rPr>
                <w:rFonts w:eastAsia="Times New Roman" w:cs="Times New Roman"/>
                <w:color w:val="000000"/>
                <w:sz w:val="20"/>
                <w:szCs w:val="20"/>
              </w:rPr>
              <w:t xml:space="preserve"> (logit)</w:t>
            </w:r>
          </w:p>
        </w:tc>
      </w:tr>
      <w:tr w:rsidR="00D665BB" w:rsidRPr="007C5C92" w14:paraId="080EC4A5"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6C4A291B"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{"citationItems":[{"id":"ITEM-1","itemData":{"DOI":"10.5018/economics-ejournal.ja.2012-40","ISSN":"18646042","abstract":"This paper investigates residents' preferences of investment in cruise tourism, taking its externalities into full account. The research involved data collection in the port of call of Messina (Sicily, Italy), during the peak cruise season in 2011. A mixed generalized ordered logit analysis, based upon a correspondence analysis, is run to examine what factors influence residents' perceptions about investing in cruise tourism. Potential positive and negative externalities produced by this economic activity, as well as socio-demographic and economic determinants are taken into account. Overall, residents in Messina, treated as a composite stakeholder, would invest a very high level of resources in cruising if their income depends on the cruise activity, if they had a cruise trip in the past, if they belong to a family with a high number of components, and if they believe this activity to exert positive welfare, cultural and social externalities. Conversely, residents in Messina are likely to prefer a low, or very low level of investment the farther they live from the port, if they are female, retired and if they perceive a deterioration of the environment. Implications for policy makers are drawn from these empirical findings. © Author(s) 2012.","author":[{"dropping-particle":"","family":"Brida","given":"Juan Gabriel","non-dropping-particle":"","parse-names":false,"suffix":""},{"dropping-particle":"","family":"Chiappa","given":"Giacomo","non-dropping-particle":"Del","parse-names":false,"suffix":""},{"dropping-particle":"","family":"Meleddu","given":"Marta","non-dropping-particle":"","parse-names":false,"suffix":""},{"dropping-particle":"","family":"Pulina","given":"Manuela","non-dropping-particle":"","parse-names":false,"suffix":""}],"container-title":"Economics","id":"ITEM-1","issued":{"date-parts":[["2012"]]},"title":"Cruise tourism externalities and residents' support: A mixed approach","type":"article-journal","volume":"6"},"uris":["http://www.mendeley.com/documents/?uuid=30320fab-ace6-4658-81f9-bd4cad7e13c2"]}],"mendeley":{"formattedCitation":"(Brida et al. 2012)","manualFormatting":"Brida et al. 2012","plainTextFormattedCitation":"(Brida et al. 2012)","previouslyFormattedCitation":"(Brida et al. 2012)"},"properties":{"noteIndex":0},"schema":"https://github.com/citation-style-language/schema/raw/master/csl-citation.json"}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Brida et al. 2012</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7417F07C"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To study resident's preferences in cruise tourism investment</w:t>
            </w:r>
          </w:p>
        </w:tc>
        <w:tc>
          <w:tcPr>
            <w:tcW w:w="2970" w:type="dxa"/>
            <w:tcBorders>
              <w:top w:val="nil"/>
              <w:left w:val="nil"/>
              <w:bottom w:val="single" w:sz="4" w:space="0" w:color="auto"/>
              <w:right w:val="single" w:sz="4" w:space="0" w:color="auto"/>
            </w:tcBorders>
            <w:noWrap/>
            <w:vAlign w:val="center"/>
            <w:hideMark/>
          </w:tcPr>
          <w:p w14:paraId="5571B2AA" w14:textId="6D84002C" w:rsidR="00D665BB" w:rsidRPr="00ED7903" w:rsidRDefault="00A02E72" w:rsidP="000E4F21">
            <w:pPr>
              <w:spacing w:after="0"/>
              <w:rPr>
                <w:rFonts w:eastAsia="Times New Roman" w:cs="Times New Roman"/>
                <w:color w:val="000000"/>
                <w:sz w:val="20"/>
                <w:szCs w:val="20"/>
              </w:rPr>
            </w:pPr>
            <w:r>
              <w:rPr>
                <w:rFonts w:eastAsia="Times New Roman" w:cs="Times New Roman"/>
                <w:color w:val="000000"/>
                <w:sz w:val="20"/>
                <w:szCs w:val="20"/>
              </w:rPr>
              <w:t>Survey</w:t>
            </w:r>
            <w:r w:rsidR="00D665BB" w:rsidRPr="00ED7903">
              <w:rPr>
                <w:rFonts w:eastAsia="Times New Roman" w:cs="Times New Roman"/>
                <w:color w:val="000000"/>
                <w:sz w:val="20"/>
                <w:szCs w:val="20"/>
              </w:rPr>
              <w:t xml:space="preserve"> data (Italy; 2011)</w:t>
            </w:r>
          </w:p>
        </w:tc>
        <w:tc>
          <w:tcPr>
            <w:tcW w:w="1620" w:type="dxa"/>
            <w:tcBorders>
              <w:top w:val="nil"/>
              <w:left w:val="nil"/>
              <w:bottom w:val="single" w:sz="4" w:space="0" w:color="auto"/>
              <w:right w:val="single" w:sz="4" w:space="0" w:color="auto"/>
            </w:tcBorders>
            <w:noWrap/>
            <w:vAlign w:val="center"/>
            <w:hideMark/>
          </w:tcPr>
          <w:p w14:paraId="05E01A13"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Level of investment (5)</w:t>
            </w:r>
          </w:p>
        </w:tc>
        <w:tc>
          <w:tcPr>
            <w:tcW w:w="2250" w:type="dxa"/>
            <w:tcBorders>
              <w:top w:val="nil"/>
              <w:left w:val="nil"/>
              <w:bottom w:val="single" w:sz="4" w:space="0" w:color="auto"/>
              <w:right w:val="single" w:sz="4" w:space="0" w:color="auto"/>
            </w:tcBorders>
            <w:vAlign w:val="center"/>
          </w:tcPr>
          <w:p w14:paraId="0154F71D" w14:textId="77777777" w:rsidR="00D665BB" w:rsidRPr="00475F17" w:rsidRDefault="00D665BB" w:rsidP="00B40864">
            <w:pPr>
              <w:spacing w:after="0"/>
              <w:rPr>
                <w:rFonts w:eastAsia="Times New Roman" w:cs="Times New Roman"/>
                <w:color w:val="000000"/>
                <w:sz w:val="20"/>
                <w:szCs w:val="18"/>
              </w:rPr>
            </w:pPr>
            <w:r w:rsidRPr="00475F17">
              <w:rPr>
                <w:sz w:val="20"/>
                <w:szCs w:val="18"/>
              </w:rPr>
              <w:t>Very low, low, medium, high and very high</w:t>
            </w:r>
          </w:p>
        </w:tc>
        <w:tc>
          <w:tcPr>
            <w:tcW w:w="1350" w:type="dxa"/>
            <w:tcBorders>
              <w:top w:val="nil"/>
              <w:left w:val="single" w:sz="4" w:space="0" w:color="auto"/>
              <w:bottom w:val="single" w:sz="4" w:space="0" w:color="auto"/>
              <w:right w:val="single" w:sz="4" w:space="0" w:color="auto"/>
            </w:tcBorders>
            <w:noWrap/>
            <w:vAlign w:val="center"/>
            <w:hideMark/>
          </w:tcPr>
          <w:p w14:paraId="3398CD75"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OR</w:t>
            </w:r>
            <w:r w:rsidRPr="007C5C92">
              <w:rPr>
                <w:rFonts w:eastAsia="Times New Roman" w:cs="Times New Roman"/>
                <w:color w:val="000000"/>
                <w:sz w:val="20"/>
                <w:szCs w:val="20"/>
              </w:rPr>
              <w:t xml:space="preserve"> (logit)</w:t>
            </w:r>
          </w:p>
        </w:tc>
      </w:tr>
      <w:tr w:rsidR="00D665BB" w:rsidRPr="007C5C92" w14:paraId="5584145A"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399AA354"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{"citationItems":[{"id":"ITEM-1","itemData":{"DOI":"10.1007/s00432-009-0758-2","ISBN":"0043200907","ISSN":"01715216","PMID":"20063011","abstract":"Cigarette smoking is the predominant risk factor for bladder cancer in males and females. The tobacco carcinogens are metabolized by various xenobiotic metabolizing enzymes such as N-acetyltransferases (NAT) and glutathione S-transferases (GST). Polymorphisms in NAT and GST genes alter the ability of these enzymes to metabolize carcinogens. In this paper, we conduct a statistical analysis based on logistic regressions to assess the impact of smoking and metabolizing enzyme genotypes on the risk to develop bladder cancer using a case-control study from Tunisia. We also use the generalized ordered logistic model to investigate whether these factors do have an impact on the progression of bladder tumors. © 2010 Springer-Verlag.","author":[{"dropping-particle":"","family":"Khedhiri","given":"Sami","non-dropping-particle":"","parse-names":false,"suffix":""},{"dropping-particle":"","family":"Stambouli","given":"Nejla","non-dropping-particle":"","parse-names":false,"suffix":""},{"dropping-particle":"","family":"Ouerhani","given":"Slah","non-dropping-particle":"","parse-names":false,"suffix":""},{"dropping-particle":"","family":"Rouissi","given":"Kamel","non-dropping-particle":"","parse-names":false,"suffix":""},{"dropping-particle":"","family":"Marrakchi","given":"Raja","non-dropping-particle":"","parse-names":false,"suffix":""},{"dropping-particle":"","family":"Gaaied","given":"Amel B.","non-dropping-particle":"","parse-names":false,"suffix":""},{"dropping-particle":"","family":"Slama","given":"M. B.","non-dropping-particle":"","parse-names":false,"suffix":""}],"container-title":"Journal of Cancer Research and Clinical Oncology","id":"ITEM-1","issue":"7","issued":{"date-parts":[["2010"]]},"page":"1111-1116","title":"The impact of smoking and polymorphic enzymes of xenobiotic metabolism on the stage of bladder tumors: A generalized ordered logistic regression analysis","type":"article-journal","volume":"136"},"uris":["http://www.mendeley.com/documents/?uuid=1910c7d7-ecac-43a1-bb62-4d8ab93212b2"]}],"mendeley":{"formattedCitation":"(Khedhiri et al. 2010)","manualFormatting":"Khedhiri et al. 2010","plainTextFormattedCitation":"(Khedhiri et al. 2010)","previouslyFormattedCitation":"(Khedhiri et al. 2010)"},"properties":{"noteIndex":0},"schema":"https://github.com/citation-style-language/schema/raw/master/csl-citation.json"}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Khedhiri et al. 2010</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7C78A43E" w14:textId="56A5E9A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w:t>
            </w:r>
            <w:r w:rsidR="00F17755">
              <w:rPr>
                <w:rFonts w:eastAsia="Times New Roman" w:cs="Times New Roman"/>
                <w:color w:val="000000"/>
                <w:sz w:val="20"/>
                <w:szCs w:val="20"/>
              </w:rPr>
              <w:t xml:space="preserve">examine </w:t>
            </w:r>
            <w:r w:rsidRPr="00ED7903">
              <w:rPr>
                <w:rFonts w:eastAsia="Times New Roman" w:cs="Times New Roman"/>
                <w:color w:val="000000"/>
                <w:sz w:val="20"/>
                <w:szCs w:val="20"/>
              </w:rPr>
              <w:t>the risk to develop bladder cancer due to smoking and metabolizing enzyme genotypes</w:t>
            </w:r>
          </w:p>
        </w:tc>
        <w:tc>
          <w:tcPr>
            <w:tcW w:w="2970" w:type="dxa"/>
            <w:tcBorders>
              <w:top w:val="nil"/>
              <w:left w:val="nil"/>
              <w:bottom w:val="single" w:sz="4" w:space="0" w:color="auto"/>
              <w:right w:val="single" w:sz="4" w:space="0" w:color="auto"/>
            </w:tcBorders>
            <w:noWrap/>
            <w:vAlign w:val="center"/>
            <w:hideMark/>
          </w:tcPr>
          <w:p w14:paraId="3B41D510"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Patient data (Tunisia)</w:t>
            </w:r>
          </w:p>
        </w:tc>
        <w:tc>
          <w:tcPr>
            <w:tcW w:w="1620" w:type="dxa"/>
            <w:tcBorders>
              <w:top w:val="nil"/>
              <w:left w:val="nil"/>
              <w:bottom w:val="single" w:sz="4" w:space="0" w:color="auto"/>
              <w:right w:val="single" w:sz="4" w:space="0" w:color="auto"/>
            </w:tcBorders>
            <w:noWrap/>
            <w:vAlign w:val="center"/>
            <w:hideMark/>
          </w:tcPr>
          <w:p w14:paraId="67978813"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Stage of bladder tumors (3)</w:t>
            </w:r>
          </w:p>
        </w:tc>
        <w:tc>
          <w:tcPr>
            <w:tcW w:w="2250" w:type="dxa"/>
            <w:tcBorders>
              <w:top w:val="nil"/>
              <w:left w:val="nil"/>
              <w:bottom w:val="single" w:sz="4" w:space="0" w:color="auto"/>
              <w:right w:val="single" w:sz="4" w:space="0" w:color="auto"/>
            </w:tcBorders>
            <w:vAlign w:val="center"/>
          </w:tcPr>
          <w:p w14:paraId="3B4C22C2" w14:textId="77777777" w:rsidR="00D665BB" w:rsidRPr="00475F17" w:rsidRDefault="00D665BB" w:rsidP="00B40864">
            <w:pPr>
              <w:spacing w:after="0"/>
              <w:rPr>
                <w:rFonts w:eastAsia="Times New Roman" w:cs="Times New Roman"/>
                <w:color w:val="000000"/>
                <w:sz w:val="20"/>
                <w:szCs w:val="18"/>
              </w:rPr>
            </w:pPr>
            <w:r w:rsidRPr="00475F17">
              <w:rPr>
                <w:sz w:val="20"/>
                <w:szCs w:val="18"/>
              </w:rPr>
              <w:t>3 stages</w:t>
            </w:r>
          </w:p>
        </w:tc>
        <w:tc>
          <w:tcPr>
            <w:tcW w:w="1350" w:type="dxa"/>
            <w:tcBorders>
              <w:top w:val="nil"/>
              <w:left w:val="single" w:sz="4" w:space="0" w:color="auto"/>
              <w:bottom w:val="single" w:sz="4" w:space="0" w:color="auto"/>
              <w:right w:val="single" w:sz="4" w:space="0" w:color="auto"/>
            </w:tcBorders>
            <w:noWrap/>
            <w:vAlign w:val="center"/>
            <w:hideMark/>
          </w:tcPr>
          <w:p w14:paraId="72DE4EDB"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PPO</w:t>
            </w:r>
            <w:r w:rsidRPr="007C5C92">
              <w:rPr>
                <w:rFonts w:eastAsia="Times New Roman" w:cs="Times New Roman"/>
                <w:color w:val="000000"/>
                <w:sz w:val="20"/>
                <w:szCs w:val="20"/>
              </w:rPr>
              <w:t xml:space="preserve"> (logit)</w:t>
            </w:r>
          </w:p>
        </w:tc>
      </w:tr>
      <w:tr w:rsidR="00D665BB" w:rsidRPr="007C5C92" w14:paraId="54FCFA85"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470DB702"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{"citationItems":[{"id":"ITEM-1","itemData":{"DOI":"10.1002/nur.20388","ISSN":"1098240X","PMID":"20645420","abstract":"Clinical nursing expertise is central to quality patient care. Research on factors that contribute to expertise has focused largely on individual nurse characteristics to the exclusion of contextual factors. To address this, we examined effects of hospital contextual factors and individual nurse education and experience on clinical nursing expertise in a cross-sectional analysis of data from 8,611 registered nurses. In a generalized ordered logistic regression analysis, the composition of the hospital staff, particularly the proportion of nurses with at least a bachelor of science in nursing degree, was associated with significantly greater odds of a nurse reporting a more advanced expertise level. Our findings suggest that, controlling for individual characteristics, the hospital context significantly influences clinical nursing expertise. 2010 Wiley Periodicals, Inc.","author":[{"dropping-particle":"","family":"McHugh","given":"Matthew D.","non-dropping-particle":"","parse-names":false,"suffix":""},{"dropping-particle":"","family":"Lake","given":"Eileen T.","non-dropping-particle":"","parse-names":false,"suffix":""}],"container-title":"Research in nursing &amp; health","id":"ITEM-1","issue":"4","issued":{"date-parts":[["2010"]]},"page":"276-287","title":"Understanding clinical expertise: nurse education, experience, and the hospital context.","type":"article-journal","volume":"33"},"uris":["http://www.mendeley.com/documents/?uuid=e402e2b6-6447-4eac-b9e7-c77574d0624b"]}],"mendeley":{"formattedCitation":"(McHugh and Lake 2010)","manualFormatting":"McHugh and Lake 2010","plainTextFormattedCitation":"(McHugh and Lake 2010)","previouslyFormattedCitation":"(McHugh and Lake 2010)"},"properties":{"noteIndex":0},"schema":"https://github.com/citation-style-language/schema/raw/master/csl-citation.json"}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McHugh and Lake 2010</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74329A4B" w14:textId="6FC8A2C4"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study the factors </w:t>
            </w:r>
            <w:r w:rsidR="00F17755">
              <w:rPr>
                <w:rFonts w:eastAsia="Times New Roman" w:cs="Times New Roman"/>
                <w:color w:val="000000"/>
                <w:sz w:val="20"/>
                <w:szCs w:val="20"/>
              </w:rPr>
              <w:t>affecting</w:t>
            </w:r>
            <w:r w:rsidR="00F17755" w:rsidRPr="00ED7903">
              <w:rPr>
                <w:rFonts w:eastAsia="Times New Roman" w:cs="Times New Roman"/>
                <w:color w:val="000000"/>
                <w:sz w:val="20"/>
                <w:szCs w:val="20"/>
              </w:rPr>
              <w:t xml:space="preserve"> </w:t>
            </w:r>
            <w:r w:rsidRPr="00ED7903">
              <w:rPr>
                <w:rFonts w:eastAsia="Times New Roman" w:cs="Times New Roman"/>
                <w:color w:val="000000"/>
                <w:sz w:val="20"/>
                <w:szCs w:val="20"/>
              </w:rPr>
              <w:t>clinical nursing expertise</w:t>
            </w:r>
          </w:p>
        </w:tc>
        <w:tc>
          <w:tcPr>
            <w:tcW w:w="2970" w:type="dxa"/>
            <w:tcBorders>
              <w:top w:val="nil"/>
              <w:left w:val="nil"/>
              <w:bottom w:val="single" w:sz="4" w:space="0" w:color="auto"/>
              <w:right w:val="single" w:sz="4" w:space="0" w:color="auto"/>
            </w:tcBorders>
            <w:noWrap/>
            <w:vAlign w:val="center"/>
            <w:hideMark/>
          </w:tcPr>
          <w:p w14:paraId="545635E4" w14:textId="1FAB3F3D"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Statewide survey of registered nurses (</w:t>
            </w:r>
            <w:r w:rsidR="00B4145B" w:rsidRPr="00B4145B">
              <w:rPr>
                <w:rFonts w:eastAsia="Times New Roman" w:cs="Times New Roman"/>
                <w:color w:val="000000"/>
                <w:sz w:val="20"/>
                <w:szCs w:val="20"/>
              </w:rPr>
              <w:t>Pennsylvania</w:t>
            </w:r>
            <w:r w:rsidR="00B4145B">
              <w:rPr>
                <w:rFonts w:eastAsia="Times New Roman" w:cs="Times New Roman"/>
                <w:color w:val="000000"/>
                <w:sz w:val="20"/>
                <w:szCs w:val="20"/>
              </w:rPr>
              <w:t>, US</w:t>
            </w:r>
            <w:r w:rsidRPr="00ED7903">
              <w:rPr>
                <w:rFonts w:eastAsia="Times New Roman" w:cs="Times New Roman"/>
                <w:color w:val="000000"/>
                <w:sz w:val="20"/>
                <w:szCs w:val="20"/>
              </w:rPr>
              <w:t>; 1999)</w:t>
            </w:r>
          </w:p>
        </w:tc>
        <w:tc>
          <w:tcPr>
            <w:tcW w:w="1620" w:type="dxa"/>
            <w:tcBorders>
              <w:top w:val="nil"/>
              <w:left w:val="nil"/>
              <w:bottom w:val="single" w:sz="4" w:space="0" w:color="auto"/>
              <w:right w:val="single" w:sz="4" w:space="0" w:color="auto"/>
            </w:tcBorders>
            <w:noWrap/>
            <w:vAlign w:val="center"/>
            <w:hideMark/>
          </w:tcPr>
          <w:p w14:paraId="0A5E5568"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Level of Expertise (4)</w:t>
            </w:r>
          </w:p>
        </w:tc>
        <w:tc>
          <w:tcPr>
            <w:tcW w:w="2250" w:type="dxa"/>
            <w:tcBorders>
              <w:top w:val="nil"/>
              <w:left w:val="nil"/>
              <w:bottom w:val="single" w:sz="4" w:space="0" w:color="auto"/>
              <w:right w:val="single" w:sz="4" w:space="0" w:color="auto"/>
            </w:tcBorders>
            <w:vAlign w:val="center"/>
          </w:tcPr>
          <w:p w14:paraId="5FFF27A2" w14:textId="77777777" w:rsidR="00D665BB" w:rsidRPr="00475F17" w:rsidRDefault="00D665BB" w:rsidP="00B40864">
            <w:pPr>
              <w:spacing w:after="0"/>
              <w:rPr>
                <w:rFonts w:eastAsia="Times New Roman" w:cs="Times New Roman"/>
                <w:color w:val="000000"/>
                <w:sz w:val="20"/>
                <w:szCs w:val="18"/>
              </w:rPr>
            </w:pPr>
            <w:r w:rsidRPr="00475F17">
              <w:rPr>
                <w:sz w:val="20"/>
                <w:szCs w:val="18"/>
              </w:rPr>
              <w:t>Advanced beginner, competent, proficient and expert</w:t>
            </w:r>
          </w:p>
        </w:tc>
        <w:tc>
          <w:tcPr>
            <w:tcW w:w="1350" w:type="dxa"/>
            <w:tcBorders>
              <w:top w:val="nil"/>
              <w:left w:val="single" w:sz="4" w:space="0" w:color="auto"/>
              <w:bottom w:val="single" w:sz="4" w:space="0" w:color="auto"/>
              <w:right w:val="single" w:sz="4" w:space="0" w:color="auto"/>
            </w:tcBorders>
            <w:noWrap/>
            <w:vAlign w:val="center"/>
            <w:hideMark/>
          </w:tcPr>
          <w:p w14:paraId="5AA05C2C" w14:textId="77777777" w:rsidR="00D665BB" w:rsidRPr="00ED7903" w:rsidRDefault="00D665BB" w:rsidP="000E4F21">
            <w:pPr>
              <w:spacing w:after="0"/>
              <w:rPr>
                <w:rFonts w:eastAsia="Times New Roman" w:cs="Times New Roman"/>
                <w:color w:val="000000"/>
                <w:sz w:val="20"/>
                <w:szCs w:val="20"/>
              </w:rPr>
            </w:pPr>
            <w:r>
              <w:rPr>
                <w:rFonts w:eastAsia="Times New Roman" w:cs="Times New Roman"/>
                <w:color w:val="000000"/>
                <w:sz w:val="20"/>
                <w:szCs w:val="20"/>
              </w:rPr>
              <w:t>PPO</w:t>
            </w:r>
            <w:r w:rsidRPr="007C5C92">
              <w:rPr>
                <w:rFonts w:eastAsia="Times New Roman" w:cs="Times New Roman"/>
                <w:color w:val="000000"/>
                <w:sz w:val="20"/>
                <w:szCs w:val="20"/>
              </w:rPr>
              <w:t xml:space="preserve"> (logit)</w:t>
            </w:r>
          </w:p>
        </w:tc>
      </w:tr>
      <w:tr w:rsidR="00D665BB" w:rsidRPr="007C5C92" w14:paraId="5C163243"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0823A7CC"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{"citationItems":[{"id":"ITEM-1","itemData":{"DOI":"10.47678/cjhe.v52i1.189007","ISSN":"22936602","abstract":"The ability of universities and colleges to predict the success of admitted students continues to be a key concern of higher education officials. Apart from a desire to see students have successful academic careers, there is also the fiscal reality of greater tuition revenues providing needed support for university budgets. Using administrative data, this article introduces a relatively new empirical approach to estimating the determinants of student success in post-secondary institutions. Using Ordered Logit and Generalized Ordered Logit estimators, we estimate the role a number of key factors play in influencing student success. As a test of robustness we also use the feologit estimator which is designed to fit fixed effects ordered logit models. An important feature of our approach to determining student success is that it can be conducted using readily available administrative data. While the results are based on one institution, we feel there are useful lessons for other institutions facing similar student performance issues.","author":[{"dropping-particle":"","family":"Cyrenne","given":"Philippe","non-dropping-particle":"","parse-names":false,"suffix":""},{"dropping-particle":"","family":"Chan","given":"Alan","non-dropping-particle":"","parse-names":false,"suffix":""}],"container-title":"Canadian Journal of Higher Education","id":"ITEM-1","issue":"1","issued":{"date-parts":[["2022"]]},"page":"84-107","title":"The Determinants of Student Success in University: A Generalized Ordered Logit Approach","type":"article-journal","volume":"52"},"uris":["http://www.mendeley.com/documents/?uuid=b258d1d3-15f9-4d9d-85dd-ae366f19654b"]}],"mendeley":{"formattedCitation":"(Cyrenne and Chan 2022)","manualFormatting":"Cyrenne and Chan 2022","plainTextFormattedCitation":"(Cyrenne and Chan 2022)","previouslyFormattedCitation":"(Cyrenne and Chan 2022)"},"properties":{"noteIndex":0},"schema":"https://github.com/citation-style-language/schema/raw/master/csl-citation.json"}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Cyrenne and Chan 2022</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5AE8EAAA" w14:textId="3E31E62B"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determine the factors </w:t>
            </w:r>
            <w:r w:rsidR="002212F4">
              <w:rPr>
                <w:rFonts w:eastAsia="Times New Roman" w:cs="Times New Roman"/>
                <w:color w:val="000000"/>
                <w:sz w:val="20"/>
                <w:szCs w:val="20"/>
              </w:rPr>
              <w:t>determining</w:t>
            </w:r>
            <w:r w:rsidR="002212F4" w:rsidRPr="00ED7903">
              <w:rPr>
                <w:rFonts w:eastAsia="Times New Roman" w:cs="Times New Roman"/>
                <w:color w:val="000000"/>
                <w:sz w:val="20"/>
                <w:szCs w:val="20"/>
              </w:rPr>
              <w:t xml:space="preserve"> </w:t>
            </w:r>
            <w:r w:rsidRPr="00ED7903">
              <w:rPr>
                <w:rFonts w:eastAsia="Times New Roman" w:cs="Times New Roman"/>
                <w:color w:val="000000"/>
                <w:sz w:val="20"/>
                <w:szCs w:val="20"/>
              </w:rPr>
              <w:t>student success in university</w:t>
            </w:r>
          </w:p>
        </w:tc>
        <w:tc>
          <w:tcPr>
            <w:tcW w:w="2970" w:type="dxa"/>
            <w:tcBorders>
              <w:top w:val="nil"/>
              <w:left w:val="nil"/>
              <w:bottom w:val="single" w:sz="4" w:space="0" w:color="auto"/>
              <w:right w:val="single" w:sz="4" w:space="0" w:color="auto"/>
            </w:tcBorders>
            <w:noWrap/>
            <w:vAlign w:val="center"/>
            <w:hideMark/>
          </w:tcPr>
          <w:p w14:paraId="347F6662"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Administrative data (Canada; 1997)</w:t>
            </w:r>
          </w:p>
        </w:tc>
        <w:tc>
          <w:tcPr>
            <w:tcW w:w="1620" w:type="dxa"/>
            <w:tcBorders>
              <w:top w:val="nil"/>
              <w:left w:val="nil"/>
              <w:bottom w:val="single" w:sz="4" w:space="0" w:color="auto"/>
              <w:right w:val="single" w:sz="4" w:space="0" w:color="auto"/>
            </w:tcBorders>
            <w:noWrap/>
            <w:vAlign w:val="center"/>
            <w:hideMark/>
          </w:tcPr>
          <w:p w14:paraId="1687834A"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Ordered Outcomes: Success (3)</w:t>
            </w:r>
          </w:p>
        </w:tc>
        <w:tc>
          <w:tcPr>
            <w:tcW w:w="2250" w:type="dxa"/>
            <w:tcBorders>
              <w:top w:val="nil"/>
              <w:left w:val="nil"/>
              <w:bottom w:val="single" w:sz="4" w:space="0" w:color="auto"/>
              <w:right w:val="single" w:sz="4" w:space="0" w:color="auto"/>
            </w:tcBorders>
            <w:vAlign w:val="center"/>
          </w:tcPr>
          <w:p w14:paraId="67C45E82" w14:textId="77777777" w:rsidR="00D665BB" w:rsidRPr="00475F17" w:rsidRDefault="00D665BB" w:rsidP="00B40864">
            <w:pPr>
              <w:spacing w:after="0"/>
              <w:rPr>
                <w:rFonts w:eastAsia="Times New Roman" w:cs="Times New Roman"/>
                <w:color w:val="000000"/>
                <w:sz w:val="20"/>
                <w:szCs w:val="18"/>
              </w:rPr>
            </w:pPr>
            <w:r w:rsidRPr="00475F17">
              <w:rPr>
                <w:sz w:val="20"/>
                <w:szCs w:val="18"/>
              </w:rPr>
              <w:t>Withdrawn, continuing and graduated</w:t>
            </w:r>
          </w:p>
        </w:tc>
        <w:tc>
          <w:tcPr>
            <w:tcW w:w="1350" w:type="dxa"/>
            <w:tcBorders>
              <w:top w:val="nil"/>
              <w:left w:val="single" w:sz="4" w:space="0" w:color="auto"/>
              <w:bottom w:val="single" w:sz="4" w:space="0" w:color="auto"/>
              <w:right w:val="single" w:sz="4" w:space="0" w:color="auto"/>
            </w:tcBorders>
            <w:noWrap/>
            <w:vAlign w:val="center"/>
            <w:hideMark/>
          </w:tcPr>
          <w:p w14:paraId="736A9D01"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OR and </w:t>
            </w:r>
            <w:r>
              <w:rPr>
                <w:rFonts w:eastAsia="Times New Roman" w:cs="Times New Roman"/>
                <w:color w:val="000000"/>
                <w:sz w:val="20"/>
                <w:szCs w:val="20"/>
              </w:rPr>
              <w:t>PPO</w:t>
            </w:r>
            <w:r w:rsidRPr="007C5C92">
              <w:rPr>
                <w:rFonts w:eastAsia="Times New Roman" w:cs="Times New Roman"/>
                <w:color w:val="000000"/>
                <w:sz w:val="20"/>
                <w:szCs w:val="20"/>
              </w:rPr>
              <w:t xml:space="preserve"> (logit)</w:t>
            </w:r>
          </w:p>
        </w:tc>
      </w:tr>
      <w:tr w:rsidR="00D665BB" w:rsidRPr="007C5C92" w14:paraId="4B38F313"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5A931AC4" w14:textId="48D276B5"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008D18A7">
              <w:rPr>
                <w:rFonts w:eastAsia="Times New Roman" w:cs="Times New Roman"/>
                <w:color w:val="000000"/>
                <w:sz w:val="20"/>
                <w:szCs w:val="20"/>
              </w:rPr>
              <w:instrText>ADDIN CSL_CITATION {"citationItems":[{"id":"ITEM-1","itemData":{"DOI":"10.1016/S2095-3119(20)63430-X","ISSN":"20953119","abstract":"The COVID-19 outbreak has shocked the world's economies in the year of 2020. As this pandemic spreads around the globe, many experts feared that the global food supplies might start running short, especially if supply chains were disrupted. COVID-19 also added to the uncertainty of the business operation. Therefore, it is critical to understand how COVID-19 pandemic affected global food supply and market. In this study, we investigate the impact of COVID-19 on agricultural export companies in China using a unique firm-level survey data. We found that although on average agricultural businesses experienced declines in the exports, exports of some agricultural products especially grain and oil held strong and even increased, implying the essential demand for staple food during the pandemic. Not surprisingly, exports of medicinal herb also increased significantly during the pandemic. However, exports of goods such as edible fungus and horticultural products sharply decreased. Our results also showed that in general, impact of COVID-19 on smaller firms was more severe than that on larger firms. The results of this study can provide useful guidance and implications for agricultural businesses and policy makers on their COVID-19 mitigation efforts to navigate this global pandemic.","author":[{"dropping-particle":"","family":"LIN","given":"Ben xi","non-dropping-particle":"","parse-names":false,"suffix":""},{"dropping-particle":"","family":"ZHANG","given":"Yu Yvette","non-dropping-particle":"","parse-names":false,"suffix":""}],"container-title":"Journal of Integrative Agriculture","id":"ITEM-1","issue":"12","issued":{"date-parts":[["2020"]]},"page":"2937-2945","publisher":"CAAS. Publishing services by Elsevier B.V","title":"Impact of the COVID-19 pandemic on agricultural exports","type":"article-journal","volume":"19"},"uris":["http://www.mendeley.com/documents/?uuid=7a793986-212b-4b6a-b40a-8c1c0468f092"]}],"mendeley":{"formattedCitation":"(LIN and ZHANG 2020)","manualFormatting":"Lin and Zhang 2020","plainTextFormattedCitation":"(LIN and ZHANG 2020)","previouslyFormattedCitation":"(LIN and ZHANG 2020)"},"properties":{"noteIndex":0},"schema":"https://github.com/citation-style-language/schema/raw/master/csl-citation.json"}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L</w:t>
            </w:r>
            <w:r w:rsidR="008B0906">
              <w:rPr>
                <w:rFonts w:eastAsia="Times New Roman" w:cs="Times New Roman"/>
                <w:noProof/>
                <w:color w:val="000000"/>
                <w:sz w:val="20"/>
                <w:szCs w:val="20"/>
              </w:rPr>
              <w:t>in</w:t>
            </w:r>
            <w:r w:rsidRPr="007C5C92">
              <w:rPr>
                <w:rFonts w:eastAsia="Times New Roman" w:cs="Times New Roman"/>
                <w:noProof/>
                <w:color w:val="000000"/>
                <w:sz w:val="20"/>
                <w:szCs w:val="20"/>
              </w:rPr>
              <w:t xml:space="preserve"> and Z</w:t>
            </w:r>
            <w:r w:rsidR="008B0906">
              <w:rPr>
                <w:rFonts w:eastAsia="Times New Roman" w:cs="Times New Roman"/>
                <w:noProof/>
                <w:color w:val="000000"/>
                <w:sz w:val="20"/>
                <w:szCs w:val="20"/>
              </w:rPr>
              <w:t>hang</w:t>
            </w:r>
            <w:r w:rsidRPr="007C5C92">
              <w:rPr>
                <w:rFonts w:eastAsia="Times New Roman" w:cs="Times New Roman"/>
                <w:noProof/>
                <w:color w:val="000000"/>
                <w:sz w:val="20"/>
                <w:szCs w:val="20"/>
              </w:rPr>
              <w:t xml:space="preserve"> 2020</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5876B6A8" w14:textId="2AA8D3B1"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 To </w:t>
            </w:r>
            <w:r w:rsidR="00D3376E">
              <w:rPr>
                <w:rFonts w:eastAsia="Times New Roman" w:cs="Times New Roman"/>
                <w:color w:val="000000"/>
                <w:sz w:val="20"/>
                <w:szCs w:val="20"/>
              </w:rPr>
              <w:t>represent</w:t>
            </w:r>
            <w:r w:rsidR="00D3376E" w:rsidRPr="00ED7903">
              <w:rPr>
                <w:rFonts w:eastAsia="Times New Roman" w:cs="Times New Roman"/>
                <w:color w:val="000000"/>
                <w:sz w:val="20"/>
                <w:szCs w:val="20"/>
              </w:rPr>
              <w:t xml:space="preserve"> </w:t>
            </w:r>
            <w:r w:rsidR="00D3376E">
              <w:rPr>
                <w:rFonts w:eastAsia="Times New Roman" w:cs="Times New Roman"/>
                <w:color w:val="000000"/>
                <w:sz w:val="20"/>
                <w:szCs w:val="20"/>
              </w:rPr>
              <w:t xml:space="preserve">how </w:t>
            </w:r>
            <w:r w:rsidRPr="00ED7903">
              <w:rPr>
                <w:rFonts w:eastAsia="Times New Roman" w:cs="Times New Roman"/>
                <w:color w:val="000000"/>
                <w:sz w:val="20"/>
                <w:szCs w:val="20"/>
              </w:rPr>
              <w:t xml:space="preserve">COVID-19 </w:t>
            </w:r>
            <w:r w:rsidR="00D3376E">
              <w:rPr>
                <w:rFonts w:eastAsia="Times New Roman" w:cs="Times New Roman"/>
                <w:color w:val="000000"/>
                <w:sz w:val="20"/>
                <w:szCs w:val="20"/>
              </w:rPr>
              <w:t>affected</w:t>
            </w:r>
            <w:r w:rsidR="00D3376E" w:rsidRPr="00ED7903">
              <w:rPr>
                <w:rFonts w:eastAsia="Times New Roman" w:cs="Times New Roman"/>
                <w:color w:val="000000"/>
                <w:sz w:val="20"/>
                <w:szCs w:val="20"/>
              </w:rPr>
              <w:t xml:space="preserve"> </w:t>
            </w:r>
            <w:r w:rsidRPr="00ED7903">
              <w:rPr>
                <w:rFonts w:eastAsia="Times New Roman" w:cs="Times New Roman"/>
                <w:color w:val="000000"/>
                <w:sz w:val="20"/>
                <w:szCs w:val="20"/>
              </w:rPr>
              <w:t>agricultural export</w:t>
            </w:r>
            <w:r w:rsidR="002212F4">
              <w:rPr>
                <w:rFonts w:eastAsia="Times New Roman" w:cs="Times New Roman"/>
                <w:color w:val="000000"/>
                <w:sz w:val="20"/>
                <w:szCs w:val="20"/>
              </w:rPr>
              <w:t>s</w:t>
            </w:r>
          </w:p>
        </w:tc>
        <w:tc>
          <w:tcPr>
            <w:tcW w:w="2970" w:type="dxa"/>
            <w:tcBorders>
              <w:top w:val="nil"/>
              <w:left w:val="nil"/>
              <w:bottom w:val="single" w:sz="4" w:space="0" w:color="auto"/>
              <w:right w:val="single" w:sz="4" w:space="0" w:color="auto"/>
            </w:tcBorders>
            <w:noWrap/>
            <w:vAlign w:val="center"/>
            <w:hideMark/>
          </w:tcPr>
          <w:p w14:paraId="5D4A229F"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Survey data (China; 2020)</w:t>
            </w:r>
          </w:p>
        </w:tc>
        <w:tc>
          <w:tcPr>
            <w:tcW w:w="1620" w:type="dxa"/>
            <w:tcBorders>
              <w:top w:val="nil"/>
              <w:left w:val="nil"/>
              <w:bottom w:val="single" w:sz="4" w:space="0" w:color="auto"/>
              <w:right w:val="single" w:sz="4" w:space="0" w:color="auto"/>
            </w:tcBorders>
            <w:noWrap/>
            <w:vAlign w:val="center"/>
            <w:hideMark/>
          </w:tcPr>
          <w:p w14:paraId="001F1491"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Change of exports (5)</w:t>
            </w:r>
          </w:p>
        </w:tc>
        <w:tc>
          <w:tcPr>
            <w:tcW w:w="2250" w:type="dxa"/>
            <w:tcBorders>
              <w:top w:val="nil"/>
              <w:left w:val="nil"/>
              <w:bottom w:val="single" w:sz="4" w:space="0" w:color="auto"/>
              <w:right w:val="single" w:sz="4" w:space="0" w:color="auto"/>
            </w:tcBorders>
            <w:vAlign w:val="center"/>
          </w:tcPr>
          <w:p w14:paraId="4364BA3E" w14:textId="77777777" w:rsidR="00D665BB" w:rsidRPr="00475F17" w:rsidRDefault="00D665BB" w:rsidP="00B40864">
            <w:pPr>
              <w:spacing w:after="0"/>
              <w:rPr>
                <w:rFonts w:eastAsia="Times New Roman" w:cs="Times New Roman"/>
                <w:color w:val="000000"/>
                <w:sz w:val="20"/>
                <w:szCs w:val="18"/>
              </w:rPr>
            </w:pPr>
            <w:r w:rsidRPr="00475F17">
              <w:rPr>
                <w:sz w:val="20"/>
                <w:szCs w:val="18"/>
              </w:rPr>
              <w:t>Increased or no change, decreased by less than 10%, decreased between 10 and 30% and so on</w:t>
            </w:r>
          </w:p>
        </w:tc>
        <w:tc>
          <w:tcPr>
            <w:tcW w:w="1350" w:type="dxa"/>
            <w:tcBorders>
              <w:top w:val="nil"/>
              <w:left w:val="single" w:sz="4" w:space="0" w:color="auto"/>
              <w:bottom w:val="single" w:sz="4" w:space="0" w:color="auto"/>
              <w:right w:val="single" w:sz="4" w:space="0" w:color="auto"/>
            </w:tcBorders>
            <w:noWrap/>
            <w:vAlign w:val="center"/>
            <w:hideMark/>
          </w:tcPr>
          <w:p w14:paraId="0A49C5E1"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OR</w:t>
            </w:r>
            <w:r w:rsidRPr="007C5C92">
              <w:rPr>
                <w:rFonts w:eastAsia="Times New Roman" w:cs="Times New Roman"/>
                <w:color w:val="000000"/>
                <w:sz w:val="20"/>
                <w:szCs w:val="20"/>
              </w:rPr>
              <w:t xml:space="preserve"> (logit)</w:t>
            </w:r>
          </w:p>
        </w:tc>
      </w:tr>
      <w:tr w:rsidR="00D665BB" w:rsidRPr="007C5C92" w14:paraId="40796E4D"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62D1EB6E"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sidRPr="007C5C92">
              <w:rPr>
                <w:rFonts w:eastAsia="Times New Roman" w:cs="Times New Roman"/>
                <w:color w:val="000000"/>
                <w:sz w:val="20"/>
                <w:szCs w:val="20"/>
              </w:rPr>
              <w:instrText>ADDIN CSL_CITATION {"citationItems":[{"id":"ITEM-1","itemData":{"DOI":"10.1016/j.landusepol.2017.06.021","ISSN":"02648377","abstract":"This study investigates farmers’ perception about the severity of loss for three rice crops, identifies their determinants and explores policy implications based on findings. This research employs an ordered probit model to data collected from 1800 farm households from drought-prone and groundwater depleted areas of Bangladesh. This is the first study of its kind. Severity of rice production loss, while differing across all three rice crops, was higher for rain-fed crops. This was broadly consistent with available independent evidence. Geophysical factors, household characteristics, institutional and market accessibility, and household adaptation strategy were key determinants of crop loss. The impact of these factors was specific to the crop and severity of loss. This study has several policy implications involving market, R &amp; D and institutional support based options. Strengthening support systems for institutional and market accessibility, and science driven climate change adaptation strategy including generation and wider dissemination of drought tolerant rice varieties, and enhancing farmers’ capacity to change rice varieties on a regular basis, constitute key areas for policy intervention.","author":[{"dropping-particle":"","family":"Islam","given":"Zeenatul","non-dropping-particle":"","parse-names":false,"suffix":""},{"dropping-particle":"","family":"Alauddin","given":"Mohammad","non-dropping-particle":"","parse-names":false,"suffix":""},{"dropping-particle":"","family":"Sarker","given":"Md Abdur Rashid","non-dropping-particle":"","parse-names":false,"suffix":""}],"container-title":"Land Use Policy","id":"ITEM-1","issue":"May","issued":{"date-parts":[["2017"]]},"page":"527-536","publisher":"Elsevier","title":"Determinants and implications of crop production loss: An empirical exploration using ordered probit analysis","type":"article-journal","volume":"67"},"uris":["http://www.mendeley.com/documents/?uuid=bba0e482-fb17-4978-b296-4604179c1d6e"]}],"mendeley":{"formattedCitation":"(Islam et al. 2017)","manualFormatting":"Islam et al. 2017","plainTextFormattedCitation":"(Islam et al. 2017)","previouslyFormattedCitation":"(Islam et al. 2017)"},"properties":{"noteIndex":0},"schema":"https://github.com/citation-style-language/schema/raw/master/csl-citation.json"}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Islam et al. 2017</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2A41B866"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To identify the determinants of crop production loss severity</w:t>
            </w:r>
          </w:p>
        </w:tc>
        <w:tc>
          <w:tcPr>
            <w:tcW w:w="2970" w:type="dxa"/>
            <w:tcBorders>
              <w:top w:val="nil"/>
              <w:left w:val="nil"/>
              <w:bottom w:val="single" w:sz="4" w:space="0" w:color="auto"/>
              <w:right w:val="single" w:sz="4" w:space="0" w:color="auto"/>
            </w:tcBorders>
            <w:noWrap/>
            <w:vAlign w:val="center"/>
            <w:hideMark/>
          </w:tcPr>
          <w:p w14:paraId="364BE7F0"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Survey data (Bangladesh)</w:t>
            </w:r>
          </w:p>
        </w:tc>
        <w:tc>
          <w:tcPr>
            <w:tcW w:w="1620" w:type="dxa"/>
            <w:tcBorders>
              <w:top w:val="nil"/>
              <w:left w:val="nil"/>
              <w:bottom w:val="single" w:sz="4" w:space="0" w:color="auto"/>
              <w:right w:val="single" w:sz="4" w:space="0" w:color="auto"/>
            </w:tcBorders>
            <w:noWrap/>
            <w:vAlign w:val="center"/>
            <w:hideMark/>
          </w:tcPr>
          <w:p w14:paraId="190DB596"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Loss severity (3)</w:t>
            </w:r>
          </w:p>
        </w:tc>
        <w:tc>
          <w:tcPr>
            <w:tcW w:w="2250" w:type="dxa"/>
            <w:tcBorders>
              <w:top w:val="nil"/>
              <w:left w:val="nil"/>
              <w:bottom w:val="single" w:sz="4" w:space="0" w:color="auto"/>
              <w:right w:val="single" w:sz="4" w:space="0" w:color="auto"/>
            </w:tcBorders>
            <w:vAlign w:val="center"/>
          </w:tcPr>
          <w:p w14:paraId="3DFBF556" w14:textId="44C9C2DB" w:rsidR="00D665BB" w:rsidRPr="00475F17" w:rsidRDefault="00D665BB" w:rsidP="00B40864">
            <w:pPr>
              <w:spacing w:after="0"/>
              <w:rPr>
                <w:rFonts w:eastAsia="Times New Roman" w:cs="Times New Roman"/>
                <w:color w:val="000000"/>
                <w:sz w:val="20"/>
                <w:szCs w:val="18"/>
              </w:rPr>
            </w:pPr>
            <w:r w:rsidRPr="00475F17">
              <w:rPr>
                <w:sz w:val="20"/>
                <w:szCs w:val="18"/>
              </w:rPr>
              <w:t xml:space="preserve">Low, </w:t>
            </w:r>
            <w:r w:rsidR="00B40864" w:rsidRPr="00475F17">
              <w:rPr>
                <w:sz w:val="20"/>
                <w:szCs w:val="18"/>
              </w:rPr>
              <w:t>medium,</w:t>
            </w:r>
            <w:r w:rsidRPr="00475F17">
              <w:rPr>
                <w:sz w:val="20"/>
                <w:szCs w:val="18"/>
              </w:rPr>
              <w:t xml:space="preserve"> and high</w:t>
            </w:r>
          </w:p>
        </w:tc>
        <w:tc>
          <w:tcPr>
            <w:tcW w:w="1350" w:type="dxa"/>
            <w:tcBorders>
              <w:top w:val="nil"/>
              <w:left w:val="single" w:sz="4" w:space="0" w:color="auto"/>
              <w:bottom w:val="single" w:sz="4" w:space="0" w:color="auto"/>
              <w:right w:val="single" w:sz="4" w:space="0" w:color="auto"/>
            </w:tcBorders>
            <w:noWrap/>
            <w:vAlign w:val="center"/>
            <w:hideMark/>
          </w:tcPr>
          <w:p w14:paraId="05FFC6C7"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OR</w:t>
            </w:r>
            <w:r w:rsidRPr="007C5C92">
              <w:rPr>
                <w:rFonts w:eastAsia="Times New Roman" w:cs="Times New Roman"/>
                <w:color w:val="000000"/>
                <w:sz w:val="20"/>
                <w:szCs w:val="20"/>
              </w:rPr>
              <w:t xml:space="preserve"> (probit)</w:t>
            </w:r>
          </w:p>
        </w:tc>
      </w:tr>
      <w:tr w:rsidR="00D665BB" w:rsidRPr="007C5C92" w14:paraId="26A8282E"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0D8947AF"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Pr>
                <w:rFonts w:eastAsia="Times New Roman" w:cs="Times New Roman"/>
                <w:color w:val="000000"/>
                <w:sz w:val="20"/>
                <w:szCs w:val="20"/>
              </w:rPr>
              <w:instrText>ADDIN CSL_CITATION {"citationItems":[{"id":"ITEM-1","itemData":{"DOI":"10.18260/1-2--33982","ISSN":"21535965","abstract":"Engineering Statics professors usually complain that students enrolled in their courses do not have the adequate mathematical knowledge they should have acquired in the pre-requisite classes. Even though they were previously tested and approved those topics, now for no apparent reason they either do not remember or cannot make adequate connections between the pure mathematical formulas and their engineering application. The implication is the students fail not in the new course concepts but in the same math topics they previously learned. This situation has become even more acute in recent years especially due to the increase in the number of students being transferred to the university from several other institutions as well as for the variability in the background knowledge and non-uniformity in the mathematics pre-requisite coverage. Consequently, it has become even more important to start the Statics course from a common ground regarding the students' mathematical required prior knowledge. This paper presents the results of a study that incorporated an Adaptive Learning Module (ALM) in Statics, to review such pre-required math concepts. Two sections were taught in the same manner by the same instructor, the only difference was the ALM inclusion for one of them. Quantitative results analysis from formal assessment questions and overall performance of both groups are presented and discussed. Student's opinions regarding the ALM are also presented.","author":[{"dropping-particle":"","family":"Zaurin","given":"Ricardo","non-dropping-particle":"","parse-names":false,"suffix":""},{"dropping-particle":"","family":"Tirtha","given":"Sudipta Dey","non-dropping-particle":"","parse-names":false,"suffix":""},{"dropping-particle":"","family":"Eluru","given":"Naveen","non-dropping-particle":"","parse-names":false,"suffix":""}],"container-title":"ASEE Annual Conference and Exposition, Conference Proceedings","id":"ITEM-1","issued":{"date-parts":[["2020"]]},"title":"A comparative analysis of the students' performance in two statics courses due to the inclusion of an Adaptive Learning Module (ALM) to review the mathematics pre-requisite knowledge","type":"article-journal","volume":"2020-June"},"uris":["http://www.mendeley.com/documents/?uuid=7ff9107c-7b1c-4548-8434-5147c44e7a69"]}],"mendeley":{"formattedCitation":"(Zaurin et al. 2020a)","manualFormatting":"Zaurin et al. 2020a","plainTextFormattedCitation":"(Zaurin et al. 2020a)","previouslyFormattedCitation":"(Zaurin et al. 2020a)"},"properties":{"noteIndex":0},"schema":"https://github.com/citation-style-language/schema/raw/master/csl-citation.json"}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Zaurin et al. 2020a</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668FB187" w14:textId="29CDF9A8"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investigate </w:t>
            </w:r>
            <w:r w:rsidR="007D3865">
              <w:rPr>
                <w:rFonts w:eastAsia="Times New Roman" w:cs="Times New Roman"/>
                <w:color w:val="000000"/>
                <w:sz w:val="20"/>
                <w:szCs w:val="20"/>
              </w:rPr>
              <w:t xml:space="preserve">how </w:t>
            </w:r>
            <w:r w:rsidRPr="00ED7903">
              <w:rPr>
                <w:rFonts w:eastAsia="Times New Roman" w:cs="Times New Roman"/>
                <w:color w:val="000000"/>
                <w:sz w:val="20"/>
                <w:szCs w:val="20"/>
              </w:rPr>
              <w:t>incorporating an Adaptive Learning Module (ALM) in Statics</w:t>
            </w:r>
            <w:r w:rsidR="002212F4">
              <w:rPr>
                <w:rFonts w:eastAsia="Times New Roman" w:cs="Times New Roman"/>
                <w:color w:val="000000"/>
                <w:sz w:val="20"/>
                <w:szCs w:val="20"/>
              </w:rPr>
              <w:t xml:space="preserve"> course</w:t>
            </w:r>
            <w:r w:rsidR="007D3865">
              <w:rPr>
                <w:rFonts w:eastAsia="Times New Roman" w:cs="Times New Roman"/>
                <w:color w:val="000000"/>
                <w:sz w:val="20"/>
                <w:szCs w:val="20"/>
              </w:rPr>
              <w:t xml:space="preserve"> affected student learning</w:t>
            </w:r>
          </w:p>
        </w:tc>
        <w:tc>
          <w:tcPr>
            <w:tcW w:w="2970" w:type="dxa"/>
            <w:tcBorders>
              <w:top w:val="nil"/>
              <w:left w:val="nil"/>
              <w:bottom w:val="single" w:sz="4" w:space="0" w:color="auto"/>
              <w:right w:val="single" w:sz="4" w:space="0" w:color="auto"/>
            </w:tcBorders>
            <w:noWrap/>
            <w:vAlign w:val="center"/>
            <w:hideMark/>
          </w:tcPr>
          <w:p w14:paraId="319A87A6"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C</w:t>
            </w:r>
            <w:r w:rsidRPr="007C5C92">
              <w:rPr>
                <w:rFonts w:eastAsia="Times New Roman" w:cs="Times New Roman"/>
                <w:color w:val="000000"/>
                <w:sz w:val="20"/>
                <w:szCs w:val="20"/>
              </w:rPr>
              <w:t>lass</w:t>
            </w:r>
            <w:r w:rsidRPr="00ED7903">
              <w:rPr>
                <w:rFonts w:eastAsia="Times New Roman" w:cs="Times New Roman"/>
                <w:color w:val="000000"/>
                <w:sz w:val="20"/>
                <w:szCs w:val="20"/>
              </w:rPr>
              <w:t xml:space="preserve"> performance data (US</w:t>
            </w:r>
            <w:r w:rsidRPr="007C5C92">
              <w:rPr>
                <w:rFonts w:eastAsia="Times New Roman" w:cs="Times New Roman"/>
                <w:color w:val="000000"/>
                <w:sz w:val="20"/>
                <w:szCs w:val="20"/>
              </w:rPr>
              <w:t>; 2019</w:t>
            </w:r>
            <w:r w:rsidRPr="00ED7903">
              <w:rPr>
                <w:rFonts w:eastAsia="Times New Roman" w:cs="Times New Roman"/>
                <w:color w:val="000000"/>
                <w:sz w:val="20"/>
                <w:szCs w:val="20"/>
              </w:rPr>
              <w:t>)</w:t>
            </w:r>
          </w:p>
        </w:tc>
        <w:tc>
          <w:tcPr>
            <w:tcW w:w="1620" w:type="dxa"/>
            <w:tcBorders>
              <w:top w:val="nil"/>
              <w:left w:val="nil"/>
              <w:bottom w:val="single" w:sz="4" w:space="0" w:color="auto"/>
              <w:right w:val="single" w:sz="4" w:space="0" w:color="auto"/>
            </w:tcBorders>
            <w:noWrap/>
            <w:vAlign w:val="center"/>
            <w:hideMark/>
          </w:tcPr>
          <w:p w14:paraId="1052AB99"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Binary outcome (2)</w:t>
            </w:r>
          </w:p>
        </w:tc>
        <w:tc>
          <w:tcPr>
            <w:tcW w:w="2250" w:type="dxa"/>
            <w:tcBorders>
              <w:top w:val="nil"/>
              <w:left w:val="nil"/>
              <w:bottom w:val="single" w:sz="4" w:space="0" w:color="auto"/>
              <w:right w:val="single" w:sz="4" w:space="0" w:color="auto"/>
            </w:tcBorders>
            <w:vAlign w:val="center"/>
          </w:tcPr>
          <w:p w14:paraId="4E8DBA36" w14:textId="7781C2AC" w:rsidR="00D665BB" w:rsidRPr="00475F17" w:rsidRDefault="00D665BB" w:rsidP="00B40864">
            <w:pPr>
              <w:spacing w:after="0"/>
              <w:rPr>
                <w:rFonts w:eastAsia="Times New Roman" w:cs="Times New Roman"/>
                <w:color w:val="000000"/>
                <w:sz w:val="20"/>
                <w:szCs w:val="18"/>
              </w:rPr>
            </w:pPr>
            <w:r w:rsidRPr="00475F17">
              <w:rPr>
                <w:sz w:val="20"/>
                <w:szCs w:val="18"/>
              </w:rPr>
              <w:t>Withdraw/</w:t>
            </w:r>
            <w:r w:rsidR="00B40864">
              <w:rPr>
                <w:sz w:val="20"/>
                <w:szCs w:val="18"/>
              </w:rPr>
              <w:t>f</w:t>
            </w:r>
            <w:r w:rsidRPr="00475F17">
              <w:rPr>
                <w:sz w:val="20"/>
                <w:szCs w:val="18"/>
              </w:rPr>
              <w:t>ail and pass</w:t>
            </w:r>
          </w:p>
        </w:tc>
        <w:tc>
          <w:tcPr>
            <w:tcW w:w="1350" w:type="dxa"/>
            <w:tcBorders>
              <w:top w:val="nil"/>
              <w:left w:val="single" w:sz="4" w:space="0" w:color="auto"/>
              <w:bottom w:val="single" w:sz="4" w:space="0" w:color="auto"/>
              <w:right w:val="single" w:sz="4" w:space="0" w:color="auto"/>
            </w:tcBorders>
            <w:noWrap/>
            <w:vAlign w:val="center"/>
            <w:hideMark/>
          </w:tcPr>
          <w:p w14:paraId="2E2D9B36"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OR</w:t>
            </w:r>
            <w:r w:rsidRPr="007C5C92">
              <w:rPr>
                <w:rFonts w:eastAsia="Times New Roman" w:cs="Times New Roman"/>
                <w:color w:val="000000"/>
                <w:sz w:val="20"/>
                <w:szCs w:val="20"/>
              </w:rPr>
              <w:t xml:space="preserve"> (logit)</w:t>
            </w:r>
          </w:p>
        </w:tc>
      </w:tr>
      <w:tr w:rsidR="00D665BB" w:rsidRPr="007C5C92" w14:paraId="579120CF" w14:textId="77777777" w:rsidTr="00B40864">
        <w:trPr>
          <w:trHeight w:val="290"/>
        </w:trPr>
        <w:tc>
          <w:tcPr>
            <w:tcW w:w="1525" w:type="dxa"/>
            <w:tcBorders>
              <w:top w:val="nil"/>
              <w:left w:val="single" w:sz="4" w:space="0" w:color="auto"/>
              <w:bottom w:val="single" w:sz="4" w:space="0" w:color="auto"/>
              <w:right w:val="single" w:sz="4" w:space="0" w:color="auto"/>
            </w:tcBorders>
            <w:noWrap/>
            <w:vAlign w:val="center"/>
            <w:hideMark/>
          </w:tcPr>
          <w:p w14:paraId="1C1A4414" w14:textId="77777777" w:rsidR="00D665BB" w:rsidRPr="00ED7903" w:rsidRDefault="00D665BB" w:rsidP="000E4F21">
            <w:pPr>
              <w:spacing w:after="0"/>
              <w:rPr>
                <w:rFonts w:eastAsia="Times New Roman" w:cs="Times New Roman"/>
                <w:color w:val="000000"/>
                <w:sz w:val="20"/>
                <w:szCs w:val="20"/>
              </w:rPr>
            </w:pPr>
            <w:r w:rsidRPr="007C5C92">
              <w:rPr>
                <w:rFonts w:eastAsia="Times New Roman" w:cs="Times New Roman"/>
                <w:color w:val="000000"/>
                <w:sz w:val="20"/>
                <w:szCs w:val="20"/>
              </w:rPr>
              <w:fldChar w:fldCharType="begin" w:fldLock="1"/>
            </w:r>
            <w:r>
              <w:rPr>
                <w:rFonts w:eastAsia="Times New Roman" w:cs="Times New Roman"/>
                <w:color w:val="000000"/>
                <w:sz w:val="20"/>
                <w:szCs w:val="20"/>
              </w:rPr>
              <w:instrText>ADDIN CSL_CITATION {"citationItems":[{"id":"ITEM-1","itemData":{"DOI":"10.18260/1-2--33985","ISSN":"21535965","abstract":"In recent years, the majority of engineering colleges and universities have been experiencing a vertiginous growth in the number of student applications and enrollment. Even though this tendency is very encouraging from the point of view of producing more engineers to satisfy the nation's demand, it also comes with serious drawbacks. Such growth in the student population requires increasing the number and size of the courses, adding parking spaces, and other facilities. Building new physical facilities is costly and takes considerable time. Some of these issues may be alleviated by offering Massive Open Online Courses (MOOC), however this approach is not feasible for some engineering courses. Another alternative that has been explored is the mixed-mode courses. This approach reduces the face-to-face time and use of physical plant by at least 50%. Traditionally mixed-mode courses use a flipped modality, placing the majority of the teaching/learning responsibilities on the students and meeting with the instructor only for practicing problems. This paper presents the analysis of a mixed-mode approach, developed by the authors, for a Statics course. The online portion (~50%), conveyed via Canvas Learning Management System (LMS), contains video lectures, study-sets, self-assessment, hands-on homework, e-homework, proctored quizzes, and exams. The face-to-face component (~50%) includes concepts clarification, pre-class assessments, learning activities, real-life applications, problem solving, group quizzes, and discussions. Quantitative analysis of the results regarding students learning and class success are presented and compared with other purely face-to-face Static courses taught by the same instructor. Students' perception of instruction and opinions are analyzed and presented as well.","author":[{"dropping-particle":"","family":"Zaurin","given":"Ricardo","non-dropping-particle":"","parse-names":false,"suffix":""},{"dropping-particle":"","family":"Tirtha","given":"Sudipta Dey","non-dropping-particle":"","parse-names":false,"suffix":""},{"dropping-particle":"","family":"Eluru","given":"Naveen","non-dropping-particle":"","parse-names":false,"suffix":""}],"container-title":"ASEE Annual Conference and Exposition, Conference Proceedings","id":"ITEM-1","issued":{"date-parts":[["2020"]]},"title":"A comparison between mixed-mode and face-to-face instructional delivery approaches for engineering analysis: Statics","type":"article-journal","volume":"2020-June"},"uris":["http://www.mendeley.com/documents/?uuid=1a7f1e0e-1cee-43f2-8497-e8a0d655d758"]}],"mendeley":{"formattedCitation":"(Zaurin et al. 2020b)","manualFormatting":"Zaurin et al. 2020b","plainTextFormattedCitation":"(Zaurin et al. 2020b)","previouslyFormattedCitation":"(Zaurin et al. 2020b)"},"properties":{"noteIndex":0},"schema":"https://github.com/citation-style-language/schema/raw/master/csl-citation.json"}</w:instrText>
            </w:r>
            <w:r w:rsidRPr="007C5C92">
              <w:rPr>
                <w:rFonts w:eastAsia="Times New Roman" w:cs="Times New Roman"/>
                <w:color w:val="000000"/>
                <w:sz w:val="20"/>
                <w:szCs w:val="20"/>
              </w:rPr>
              <w:fldChar w:fldCharType="separate"/>
            </w:r>
            <w:r w:rsidRPr="007C5C92">
              <w:rPr>
                <w:rFonts w:eastAsia="Times New Roman" w:cs="Times New Roman"/>
                <w:noProof/>
                <w:color w:val="000000"/>
                <w:sz w:val="20"/>
                <w:szCs w:val="20"/>
              </w:rPr>
              <w:t>Zaurin et al. 2020b</w:t>
            </w:r>
            <w:r w:rsidRPr="007C5C92">
              <w:rPr>
                <w:rFonts w:eastAsia="Times New Roman" w:cs="Times New Roman"/>
                <w:color w:val="000000"/>
                <w:sz w:val="20"/>
                <w:szCs w:val="20"/>
              </w:rPr>
              <w:fldChar w:fldCharType="end"/>
            </w:r>
          </w:p>
        </w:tc>
        <w:tc>
          <w:tcPr>
            <w:tcW w:w="3240" w:type="dxa"/>
            <w:tcBorders>
              <w:top w:val="nil"/>
              <w:left w:val="nil"/>
              <w:bottom w:val="single" w:sz="4" w:space="0" w:color="auto"/>
              <w:right w:val="single" w:sz="4" w:space="0" w:color="auto"/>
            </w:tcBorders>
            <w:noWrap/>
            <w:vAlign w:val="center"/>
            <w:hideMark/>
          </w:tcPr>
          <w:p w14:paraId="36B2852A" w14:textId="5DEF590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 xml:space="preserve">To compare between </w:t>
            </w:r>
            <w:r w:rsidR="007D3865">
              <w:rPr>
                <w:rFonts w:eastAsia="Times New Roman" w:cs="Times New Roman"/>
                <w:color w:val="000000"/>
                <w:sz w:val="20"/>
                <w:szCs w:val="20"/>
              </w:rPr>
              <w:t xml:space="preserve">different </w:t>
            </w:r>
            <w:r w:rsidRPr="00ED7903">
              <w:rPr>
                <w:rFonts w:eastAsia="Times New Roman" w:cs="Times New Roman"/>
                <w:color w:val="000000"/>
                <w:sz w:val="20"/>
                <w:szCs w:val="20"/>
              </w:rPr>
              <w:t xml:space="preserve">instructional delivery </w:t>
            </w:r>
            <w:r w:rsidR="007D3865">
              <w:rPr>
                <w:rFonts w:eastAsia="Times New Roman" w:cs="Times New Roman"/>
                <w:color w:val="000000"/>
                <w:sz w:val="20"/>
                <w:szCs w:val="20"/>
              </w:rPr>
              <w:t>methods</w:t>
            </w:r>
          </w:p>
        </w:tc>
        <w:tc>
          <w:tcPr>
            <w:tcW w:w="2970" w:type="dxa"/>
            <w:tcBorders>
              <w:top w:val="nil"/>
              <w:left w:val="nil"/>
              <w:bottom w:val="single" w:sz="4" w:space="0" w:color="auto"/>
              <w:right w:val="single" w:sz="4" w:space="0" w:color="auto"/>
            </w:tcBorders>
            <w:noWrap/>
            <w:vAlign w:val="center"/>
            <w:hideMark/>
          </w:tcPr>
          <w:p w14:paraId="79AB6430"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C</w:t>
            </w:r>
            <w:r w:rsidRPr="007C5C92">
              <w:rPr>
                <w:rFonts w:eastAsia="Times New Roman" w:cs="Times New Roman"/>
                <w:color w:val="000000"/>
                <w:sz w:val="20"/>
                <w:szCs w:val="20"/>
              </w:rPr>
              <w:t>lass</w:t>
            </w:r>
            <w:r w:rsidRPr="00ED7903">
              <w:rPr>
                <w:rFonts w:eastAsia="Times New Roman" w:cs="Times New Roman"/>
                <w:color w:val="000000"/>
                <w:sz w:val="20"/>
                <w:szCs w:val="20"/>
              </w:rPr>
              <w:t xml:space="preserve"> performance data (US</w:t>
            </w:r>
            <w:r w:rsidRPr="007C5C92">
              <w:rPr>
                <w:rFonts w:eastAsia="Times New Roman" w:cs="Times New Roman"/>
                <w:color w:val="000000"/>
                <w:sz w:val="20"/>
                <w:szCs w:val="20"/>
              </w:rPr>
              <w:t>; 2019</w:t>
            </w:r>
            <w:r w:rsidRPr="00ED7903">
              <w:rPr>
                <w:rFonts w:eastAsia="Times New Roman" w:cs="Times New Roman"/>
                <w:color w:val="000000"/>
                <w:sz w:val="20"/>
                <w:szCs w:val="20"/>
              </w:rPr>
              <w:t>)</w:t>
            </w:r>
          </w:p>
        </w:tc>
        <w:tc>
          <w:tcPr>
            <w:tcW w:w="1620" w:type="dxa"/>
            <w:tcBorders>
              <w:top w:val="nil"/>
              <w:left w:val="nil"/>
              <w:bottom w:val="single" w:sz="4" w:space="0" w:color="auto"/>
              <w:right w:val="single" w:sz="4" w:space="0" w:color="auto"/>
            </w:tcBorders>
            <w:noWrap/>
            <w:vAlign w:val="center"/>
            <w:hideMark/>
          </w:tcPr>
          <w:p w14:paraId="3F2F6DAA"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Students' grade (6)</w:t>
            </w:r>
          </w:p>
        </w:tc>
        <w:tc>
          <w:tcPr>
            <w:tcW w:w="2250" w:type="dxa"/>
            <w:tcBorders>
              <w:top w:val="nil"/>
              <w:left w:val="nil"/>
              <w:bottom w:val="single" w:sz="4" w:space="0" w:color="auto"/>
              <w:right w:val="single" w:sz="4" w:space="0" w:color="auto"/>
            </w:tcBorders>
            <w:vAlign w:val="center"/>
          </w:tcPr>
          <w:p w14:paraId="198EDFB6" w14:textId="77777777" w:rsidR="00D665BB" w:rsidRPr="00475F17" w:rsidRDefault="00D665BB" w:rsidP="00B40864">
            <w:pPr>
              <w:spacing w:after="0"/>
              <w:rPr>
                <w:rFonts w:eastAsia="Times New Roman" w:cs="Times New Roman"/>
                <w:color w:val="000000"/>
                <w:sz w:val="20"/>
                <w:szCs w:val="18"/>
              </w:rPr>
            </w:pPr>
            <w:r w:rsidRPr="00475F17">
              <w:rPr>
                <w:sz w:val="20"/>
                <w:szCs w:val="18"/>
              </w:rPr>
              <w:t>A through F</w:t>
            </w:r>
          </w:p>
        </w:tc>
        <w:tc>
          <w:tcPr>
            <w:tcW w:w="1350" w:type="dxa"/>
            <w:tcBorders>
              <w:top w:val="nil"/>
              <w:left w:val="single" w:sz="4" w:space="0" w:color="auto"/>
              <w:bottom w:val="single" w:sz="4" w:space="0" w:color="auto"/>
              <w:right w:val="single" w:sz="4" w:space="0" w:color="auto"/>
            </w:tcBorders>
            <w:noWrap/>
            <w:vAlign w:val="center"/>
            <w:hideMark/>
          </w:tcPr>
          <w:p w14:paraId="19291180" w14:textId="77777777" w:rsidR="00D665BB" w:rsidRPr="00ED7903" w:rsidRDefault="00D665BB" w:rsidP="000E4F21">
            <w:pPr>
              <w:spacing w:after="0"/>
              <w:rPr>
                <w:rFonts w:eastAsia="Times New Roman" w:cs="Times New Roman"/>
                <w:color w:val="000000"/>
                <w:sz w:val="20"/>
                <w:szCs w:val="20"/>
              </w:rPr>
            </w:pPr>
            <w:r w:rsidRPr="00ED7903">
              <w:rPr>
                <w:rFonts w:eastAsia="Times New Roman" w:cs="Times New Roman"/>
                <w:color w:val="000000"/>
                <w:sz w:val="20"/>
                <w:szCs w:val="20"/>
              </w:rPr>
              <w:t>OR</w:t>
            </w:r>
            <w:r w:rsidRPr="007C5C92">
              <w:rPr>
                <w:rFonts w:eastAsia="Times New Roman" w:cs="Times New Roman"/>
                <w:color w:val="000000"/>
                <w:sz w:val="20"/>
                <w:szCs w:val="20"/>
              </w:rPr>
              <w:t xml:space="preserve"> (logit)</w:t>
            </w:r>
          </w:p>
        </w:tc>
      </w:tr>
    </w:tbl>
    <w:p w14:paraId="4FCD47D9" w14:textId="1441CCD0" w:rsidR="007C5C92" w:rsidRDefault="00E203D3" w:rsidP="007C5C92">
      <w:pPr>
        <w:spacing w:before="240"/>
        <w:jc w:val="both"/>
        <w:sectPr w:rsidR="007C5C92" w:rsidSect="007C5C92">
          <w:pgSz w:w="15840" w:h="12240" w:orient="landscape"/>
          <w:pgMar w:top="1440" w:right="1440" w:bottom="1440" w:left="1440" w:header="720" w:footer="720" w:gutter="0"/>
          <w:cols w:space="720"/>
          <w:titlePg/>
          <w:docGrid w:linePitch="360"/>
        </w:sectPr>
      </w:pPr>
      <w:r>
        <w:br w:type="textWrapping" w:clear="all"/>
      </w:r>
    </w:p>
    <w:p w14:paraId="42E360A1" w14:textId="77777777" w:rsidR="00E92707" w:rsidRDefault="00E92707" w:rsidP="00E92707">
      <w:pPr>
        <w:pStyle w:val="Heading1"/>
      </w:pPr>
      <w:r>
        <w:t>Model Application</w:t>
      </w:r>
    </w:p>
    <w:p w14:paraId="563AC615" w14:textId="01DBDEF7" w:rsidR="00223B52" w:rsidRDefault="00E92707" w:rsidP="00E92707">
      <w:pPr>
        <w:jc w:val="both"/>
      </w:pPr>
      <w:r>
        <w:t>In this section, we present an application of MGOR model system using domestic airline demand data for US airports. Domestic aviation sector contribut</w:t>
      </w:r>
      <w:r w:rsidR="00F630D9">
        <w:t>es</w:t>
      </w:r>
      <w:r>
        <w:t xml:space="preserve"> to </w:t>
      </w:r>
      <w:r w:rsidR="00F630D9">
        <w:t xml:space="preserve">more than </w:t>
      </w:r>
      <w:r>
        <w:t xml:space="preserve">5% of US Gross Domestic Product </w:t>
      </w:r>
      <w:r>
        <w:rPr>
          <w:rFonts w:cs="Times New Roman"/>
          <w:szCs w:val="24"/>
        </w:rPr>
        <w:fldChar w:fldCharType="begin" w:fldLock="1"/>
      </w:r>
      <w:r w:rsidR="007B5955">
        <w:rPr>
          <w:rFonts w:cs="Times New Roman"/>
          <w:szCs w:val="24"/>
        </w:rPr>
        <w:instrText>ADDIN CSL_CITATION {"citationItems":[{"id":"ITEM-1","itemData":{"URL":"https://www.faa.gov/air_traffic/by_the_numbers/","accessed":{"date-parts":[["2022","1","27"]]},"author":[{"dropping-particle":"","family":"FAA","given":"","non-dropping-particle":"","parse-names":false,"suffix":""}],"id":"ITEM-1","issued":{"date-parts":[["2022"]]},"title":"Air Traffic By The Numbers","type":"webpage"},"uris":["http://www.mendeley.com/documents/?uuid=bb9c1413-c8f2-4b0a-b5cd-1ffb3bed9dc6"]}],"mendeley":{"formattedCitation":"(FAA 2022)","manualFormatting":"(FAA 2023)","plainTextFormattedCitation":"(FAA 2022)","previouslyFormattedCitation":"(FAA 2022)"},"properties":{"noteIndex":0},"schema":"https://github.com/citation-style-language/schema/raw/master/csl-citation.json"}</w:instrText>
      </w:r>
      <w:r>
        <w:rPr>
          <w:rFonts w:cs="Times New Roman"/>
          <w:szCs w:val="24"/>
        </w:rPr>
        <w:fldChar w:fldCharType="separate"/>
      </w:r>
      <w:r w:rsidRPr="000738A7">
        <w:rPr>
          <w:rFonts w:cs="Times New Roman"/>
          <w:noProof/>
          <w:szCs w:val="24"/>
        </w:rPr>
        <w:t>(FAA 202</w:t>
      </w:r>
      <w:r w:rsidR="007B5955">
        <w:rPr>
          <w:rFonts w:cs="Times New Roman"/>
          <w:noProof/>
          <w:szCs w:val="24"/>
        </w:rPr>
        <w:t>3</w:t>
      </w:r>
      <w:r w:rsidRPr="000738A7">
        <w:rPr>
          <w:rFonts w:cs="Times New Roman"/>
          <w:noProof/>
          <w:szCs w:val="24"/>
        </w:rPr>
        <w:t>)</w:t>
      </w:r>
      <w:r>
        <w:rPr>
          <w:rFonts w:cs="Times New Roman"/>
          <w:szCs w:val="24"/>
        </w:rPr>
        <w:fldChar w:fldCharType="end"/>
      </w:r>
      <w:r>
        <w:t xml:space="preserve">. </w:t>
      </w:r>
      <w:r w:rsidR="00992957">
        <w:t xml:space="preserve">Analyzing </w:t>
      </w:r>
      <w:r>
        <w:t>the factors affecting air</w:t>
      </w:r>
      <w:r w:rsidR="00992957">
        <w:t>port level</w:t>
      </w:r>
      <w:r>
        <w:t xml:space="preserve"> passenger demand is useful for informing facility level (e.g., runways, terminals, and intermodal transportation system) improvement and operational decisions (e.g., crew management). </w:t>
      </w:r>
    </w:p>
    <w:p w14:paraId="6EF4E178" w14:textId="02F277DF" w:rsidR="00E92707" w:rsidRDefault="00992957" w:rsidP="00223B52">
      <w:pPr>
        <w:ind w:firstLine="720"/>
        <w:jc w:val="both"/>
      </w:pPr>
      <w:r>
        <w:t>Previous studies</w:t>
      </w:r>
      <w:r w:rsidR="00E92707">
        <w:t xml:space="preserve"> analyzed air passenger demand</w:t>
      </w:r>
      <w:r w:rsidR="0020577E">
        <w:t>/flows</w:t>
      </w:r>
      <w:r w:rsidR="00E92707">
        <w:t xml:space="preserve"> at regional/country level (</w:t>
      </w:r>
      <w:r w:rsidR="00E92707" w:rsidRPr="00515AA5">
        <w:rPr>
          <w:rFonts w:cs="Times New Roman"/>
          <w:noProof/>
          <w:szCs w:val="24"/>
        </w:rPr>
        <w:fldChar w:fldCharType="begin" w:fldLock="1"/>
      </w:r>
      <w:r w:rsidR="00E92707">
        <w:rPr>
          <w:rFonts w:cs="Times New Roman"/>
          <w:noProof/>
          <w:szCs w:val="24"/>
        </w:rPr>
        <w:instrText>ADDIN CSL_CITATION {"citationItems":[{"id":"ITEM-1","itemData":{"DOI":"10.1016/j.jairtraman.2013.09.003","ISSN":"09696997","abstract":"Gravity models have long served as a framework for analyzing bilateral flows, trade and many other activities. To estimate a gravity model, (parametric) linear regression techniques have been commonly employed to develop the relationship between passenger flows and factors that can significantly influence these flows. This study explores the application of an alternative method, the non-parametric multivariate adaptive regression spline (MARS) technique, to identify the determinants for air passenger flows between pairs of countries. The data of 2006 and 2007 air passenger flows between pairs of countries in the APEC region were collected to develop the MARS models. Results indicate that distance between the countries, annual import value, national per capita income, unemployment rate and consumer price index of the origin country, as well as GDP, annual import value, and consumer price index of the destination country are significant determinants for bilateral air passenger flows. © 2013 Elsevier Ltd.","author":[{"dropping-particle":"","family":"Chang","given":"Li Yen","non-dropping-particle":"","parse-names":false,"suffix":""}],"container-title":"Journal of Air Transport Management","id":"ITEM-1","issued":{"date-parts":[["2014"]]},"page":"123-130","publisher":"Elsevier Ltd","title":"Analysis of bilateral air passenger flows: A non-parametric multivariate adaptive regression spline approach","type":"article-journal","volume":"34"},"uris":["http://www.mendeley.com/documents/?uuid=dc1aa82c-faac-40ee-bdb6-208d5eb105a4"]}],"mendeley":{"formattedCitation":"(Chang 2014)","manualFormatting":"Chang 2014","plainTextFormattedCitation":"(Chang 2014)","previouslyFormattedCitation":"(Chang 2014)"},"properties":{"noteIndex":0},"schema":"https://github.com/citation-style-language/schema/raw/master/csl-citation.json"}</w:instrText>
      </w:r>
      <w:r w:rsidR="00E92707" w:rsidRPr="00515AA5">
        <w:rPr>
          <w:rFonts w:cs="Times New Roman"/>
          <w:noProof/>
          <w:szCs w:val="24"/>
        </w:rPr>
        <w:fldChar w:fldCharType="separate"/>
      </w:r>
      <w:r w:rsidR="00E92707" w:rsidRPr="00515AA5">
        <w:rPr>
          <w:rFonts w:cs="Times New Roman"/>
          <w:noProof/>
          <w:szCs w:val="24"/>
        </w:rPr>
        <w:t>Chang 2014</w:t>
      </w:r>
      <w:r w:rsidR="00E92707" w:rsidRPr="00515AA5">
        <w:rPr>
          <w:rFonts w:cs="Times New Roman"/>
          <w:noProof/>
          <w:szCs w:val="24"/>
        </w:rPr>
        <w:fldChar w:fldCharType="end"/>
      </w:r>
      <w:r w:rsidR="00E92707" w:rsidRPr="00515AA5">
        <w:rPr>
          <w:rFonts w:cs="Times New Roman"/>
          <w:noProof/>
          <w:szCs w:val="24"/>
        </w:rPr>
        <w:t>;</w:t>
      </w:r>
      <w:r w:rsidR="00E92707">
        <w:rPr>
          <w:rFonts w:cs="Times New Roman"/>
          <w:noProof/>
          <w:szCs w:val="24"/>
        </w:rPr>
        <w:t xml:space="preserve"> </w:t>
      </w:r>
      <w:r w:rsidR="00E92707">
        <w:rPr>
          <w:rFonts w:cs="Times New Roman"/>
          <w:noProof/>
          <w:szCs w:val="24"/>
        </w:rPr>
        <w:fldChar w:fldCharType="begin" w:fldLock="1"/>
      </w:r>
      <w:r w:rsidR="00E92707">
        <w:rPr>
          <w:rFonts w:cs="Times New Roman"/>
          <w:noProof/>
          <w:szCs w:val="24"/>
        </w:rPr>
        <w:instrText>ADDIN CSL_CITATION {"citationItems":[{"id":"ITEM-1","itemData":{"DOI":"10.1016/j.jairtraman.2014.03.007","ISSN":"09696997","abstract":"Demand for international air travel has risen over the past decade causing international visitation to the US to reach a record high in 2012. This paper assesses the dynamic impacts of GDP, exchange rate, and the 9/11 terrorist attacks on bilateral air travel flows between the US and its 11 major travel and trading partners. An autoregressive distributed lag modeling approach is employed to estimate short- and long-run relationships between variables. Long-run results demonstrate foreign GDP as the major determinant of demand for inbound travel to the US and US GDP is a crucial factor affecting demand for outbound travel from the US. These findings support a strong linkage between economic growth and demand for international air travel. The real exchange rate has relatively little impact on the bilateral air travel flows. The US dollar appreciation against foreign currencies is found to reduce demand for inbound travel to the US, while having mixed effects on outbound travel from the US. In the short-run, economic growth tends to be a primary factor influencing international travel flows to and from the US. The 9/11 market shock has a detrimental short- and long-run effect on the bilateral air travel flows, implying that the impact of 9/11 is prolonged in international air travel markets. © 2014 Elsevier Ltd.","author":[{"dropping-particle":"","family":"Chi","given":"Junwook","non-dropping-particle":"","parse-names":false,"suffix":""}],"container-title":"Journal of Air Transport Management","id":"ITEM-1","issued":{"date-parts":[["2014"]]},"page":"41-47","publisher":"Elsevier Ltd","title":"A cointegration analysis of bilateral air travel flows: The case of international travel to and from the United States","type":"article-journal","volume":"39"},"uris":["http://www.mendeley.com/documents/?uuid=4dbb035d-41ea-4ac0-9ab5-1240c9ef014c"]}],"mendeley":{"formattedCitation":"(Chi 2014)","manualFormatting":"Chi 2014","plainTextFormattedCitation":"(Chi 2014)","previouslyFormattedCitation":"(Chi 2014)"},"properties":{"noteIndex":0},"schema":"https://github.com/citation-style-language/schema/raw/master/csl-citation.json"}</w:instrText>
      </w:r>
      <w:r w:rsidR="00E92707">
        <w:rPr>
          <w:rFonts w:cs="Times New Roman"/>
          <w:noProof/>
          <w:szCs w:val="24"/>
        </w:rPr>
        <w:fldChar w:fldCharType="separate"/>
      </w:r>
      <w:r w:rsidR="00E92707" w:rsidRPr="00DA669C">
        <w:rPr>
          <w:rFonts w:cs="Times New Roman"/>
          <w:noProof/>
          <w:szCs w:val="24"/>
        </w:rPr>
        <w:t>Chi 2014</w:t>
      </w:r>
      <w:r w:rsidR="00E92707">
        <w:rPr>
          <w:rFonts w:cs="Times New Roman"/>
          <w:noProof/>
          <w:szCs w:val="24"/>
        </w:rPr>
        <w:fldChar w:fldCharType="end"/>
      </w:r>
      <w:r w:rsidR="00E92707">
        <w:rPr>
          <w:rFonts w:cs="Times New Roman"/>
          <w:noProof/>
          <w:szCs w:val="24"/>
        </w:rPr>
        <w:t>;</w:t>
      </w:r>
      <w:r w:rsidR="00E92707" w:rsidRPr="00692ACA">
        <w:rPr>
          <w:rFonts w:cs="Times New Roman"/>
          <w:noProof/>
          <w:szCs w:val="24"/>
        </w:rPr>
        <w:t xml:space="preserve"> </w:t>
      </w:r>
      <w:r w:rsidR="00E92707" w:rsidRPr="00515AA5">
        <w:rPr>
          <w:rFonts w:cs="Times New Roman"/>
          <w:noProof/>
          <w:szCs w:val="24"/>
        </w:rPr>
        <w:fldChar w:fldCharType="begin" w:fldLock="1"/>
      </w:r>
      <w:r w:rsidR="00E92707">
        <w:rPr>
          <w:rFonts w:cs="Times New Roman"/>
          <w:noProof/>
          <w:szCs w:val="24"/>
        </w:rPr>
        <w:instrText>ADDIN CSL_CITATION {"citationItems":[{"id":"ITEM-1","itemData":{"DOI":"10.1007/978-3-319-00930-8_25","ISBN":"9783319009292","ISSN":"21945357","abstract":"This chapter describes the fuzzy logic approach to modelling of trip generation and trip distribution on country and country-pair levels. Different economic (GDP per capita of origin country, imports by destination countries) and social factors, as well as other ones (number of emigrants in destination country and destination country attractiveness) are considered. The case study of Serbia, illustrating possibilities of models, is given. Results of this research provide empirical evidence relating to successful use of fuzzy logic as a non-traditional technique.","author":[{"dropping-particle":"","family":"Kalić","given":"Milica","non-dropping-particle":"","parse-names":false,"suffix":""},{"dropping-particle":"","family":"Kuljanin","given":"Jovana","non-dropping-particle":"","parse-names":false,"suffix":""},{"dropping-particle":"","family":"Dožić","given":"Slavica","non-dropping-particle":"","parse-names":false,"suffix":""}],"container-title":"Advances in Intelligent Systems and Computing","id":"ITEM-1","issued":{"date-parts":[["2014"]]},"page":"279-289","title":"Air travel demand fuzzy modelling: Trip generation and trip distribution","type":"article-journal","volume":"223"},"uris":["http://www.mendeley.com/documents/?uuid=c5b74d33-0eaa-462d-95c4-88d2d6607946"]}],"mendeley":{"formattedCitation":"(Kalić et al. 2014)","manualFormatting":"Kalić et al. 2014","plainTextFormattedCitation":"(Kalić et al. 2014)","previouslyFormattedCitation":"(Kalić et al. 2014)"},"properties":{"noteIndex":0},"schema":"https://github.com/citation-style-language/schema/raw/master/csl-citation.json"}</w:instrText>
      </w:r>
      <w:r w:rsidR="00E92707" w:rsidRPr="00515AA5">
        <w:rPr>
          <w:rFonts w:cs="Times New Roman"/>
          <w:noProof/>
          <w:szCs w:val="24"/>
        </w:rPr>
        <w:fldChar w:fldCharType="separate"/>
      </w:r>
      <w:r w:rsidR="00E92707" w:rsidRPr="00515AA5">
        <w:rPr>
          <w:rFonts w:cs="Times New Roman"/>
          <w:noProof/>
          <w:szCs w:val="24"/>
        </w:rPr>
        <w:t>Kalić et al. 2014</w:t>
      </w:r>
      <w:r w:rsidR="00E92707" w:rsidRPr="00515AA5">
        <w:rPr>
          <w:rFonts w:cs="Times New Roman"/>
          <w:noProof/>
          <w:szCs w:val="24"/>
        </w:rPr>
        <w:fldChar w:fldCharType="end"/>
      </w:r>
      <w:r w:rsidR="00E92707">
        <w:rPr>
          <w:rFonts w:cs="Times New Roman"/>
          <w:noProof/>
          <w:szCs w:val="24"/>
        </w:rPr>
        <w:t xml:space="preserve">; </w:t>
      </w:r>
      <w:r w:rsidR="00E92707" w:rsidRPr="00515AA5">
        <w:rPr>
          <w:rFonts w:cs="Times New Roman"/>
          <w:szCs w:val="24"/>
        </w:rPr>
        <w:fldChar w:fldCharType="begin" w:fldLock="1"/>
      </w:r>
      <w:r w:rsidR="00E92707">
        <w:rPr>
          <w:rFonts w:cs="Times New Roman"/>
          <w:szCs w:val="24"/>
        </w:rPr>
        <w:instrText>ADDIN CSL_CITATION {"citationItems":[{"id":"ITEM-1","itemData":{"DOI":"10.1016/j.jairtraman.2014.09.002","ISSN":"09696997","abstract":"The aim of this paper is to calculate the effects of air travel demand determinants in Middle Income Countries (MICs). Through static and dynamic panel data models from 32 countries during the period from 2002 to 2008, we found that the income elasticity is the most important determinant and that it is slightly higher than one. Income growth multiplied by income elasticity accounts for 75 percent of total passenger growth. Public policies such as an open skies agreements with the European Union have a positive effect on passenger growth, whereas structural changes, such as Low Cost Carrier (LCC) growth, have a marginal effect.","author":[{"dropping-particle":"","family":"Valdes","given":"Victor","non-dropping-particle":"","parse-names":false,"suffix":""}],"container-title":"Journal of Air Transport Management","id":"ITEM-1","issued":{"date-parts":[["2015"]]},"page":"75-84","publisher":"Elsevier Ltd","title":"Determinants of air travel demand in Middle Income Countries","type":"article-journal","volume":"42"},"uris":["http://www.mendeley.com/documents/?uuid=380b969d-9ab3-4a82-bc29-a72e2d530169"]}],"mendeley":{"formattedCitation":"(Valdes 2015)","manualFormatting":" Tsui et al. 2014; Valdes 2015","plainTextFormattedCitation":"(Valdes 2015)","previouslyFormattedCitation":"(Valdes 2015)"},"properties":{"noteIndex":0},"schema":"https://github.com/citation-style-language/schema/raw/master/csl-citation.json"}</w:instrText>
      </w:r>
      <w:r w:rsidR="00E92707" w:rsidRPr="00515AA5">
        <w:rPr>
          <w:rFonts w:cs="Times New Roman"/>
          <w:szCs w:val="24"/>
        </w:rPr>
        <w:fldChar w:fldCharType="separate"/>
      </w:r>
      <w:r w:rsidR="00E92707">
        <w:rPr>
          <w:rFonts w:cs="Times New Roman"/>
          <w:noProof/>
          <w:szCs w:val="24"/>
        </w:rPr>
        <w:t xml:space="preserve"> </w:t>
      </w:r>
      <w:r w:rsidR="00E92707" w:rsidRPr="00515AA5">
        <w:rPr>
          <w:rFonts w:cs="Times New Roman"/>
          <w:noProof/>
          <w:szCs w:val="24"/>
        </w:rPr>
        <w:fldChar w:fldCharType="begin" w:fldLock="1"/>
      </w:r>
      <w:r w:rsidR="00E92707">
        <w:rPr>
          <w:rFonts w:cs="Times New Roman"/>
          <w:noProof/>
          <w:szCs w:val="24"/>
        </w:rPr>
        <w:instrText>ADDIN CSL_CITATION {"citationItems":[{"id":"ITEM-1","itemData":{"DOI":"10.1016/j.tourman.2013.10.008","ISSN":"02615177","abstract":"Hong Kong International Airport (HKIA) is one of the main gateways to Mainland China and the major aviation hub in Asia. An accurate airport traffic demand forecast allows for short and long-term planning and decision making regarding airport facilities and flight networks. This paper employs the Box-Jenkins Seasonal ARIMA (SARIMA) model and the ARIMAX model to forecast airport passenger traffic for Hong Kong, and projecting its future growth trend to 2015. Both models predict a steady growth in future airport passenger traffic at Hong Kong. In addition, scenario analysis suggests that Hong Kong airport's future passenger traffic will continue to grow in different magnitudes. © 2013 Elsevier Ltd.","author":[{"dropping-particle":"","family":"Tsui","given":"Wai Hong Kan","non-dropping-particle":"","parse-names":false,"suffix":""},{"dropping-particle":"","family":"Ozer Balli","given":"Hatice","non-dropping-particle":"","parse-names":false,"suffix":""},{"dropping-particle":"","family":"Gilbey","given":"Andrew","non-dropping-particle":"","parse-names":false,"suffix":""},{"dropping-particle":"","family":"Gow","given":"Hamish","non-dropping-particle":"","parse-names":false,"suffix":""}],"container-title":"Tourism Management","id":"ITEM-1","issue":"2014","issued":{"date-parts":[["2014"]]},"page":"62-76","publisher":"Elsevier Ltd","title":"Forecasting of Hong Kong airport's passenger throughput","type":"article-journal","volume":"42"},"uris":["http://www.mendeley.com/documents/?uuid=0708f3d4-dbb9-496f-b7f5-42c96a98cf1b"]}],"mendeley":{"formattedCitation":"(Tsui et al. 2014)","manualFormatting":"Tsui et al. 2014","plainTextFormattedCitation":"(Tsui et al. 2014)","previouslyFormattedCitation":"(Tsui et al. 2014)"},"properties":{"noteIndex":0},"schema":"https://github.com/citation-style-language/schema/raw/master/csl-citation.json"}</w:instrText>
      </w:r>
      <w:r w:rsidR="00E92707" w:rsidRPr="00515AA5">
        <w:rPr>
          <w:rFonts w:cs="Times New Roman"/>
          <w:noProof/>
          <w:szCs w:val="24"/>
        </w:rPr>
        <w:fldChar w:fldCharType="separate"/>
      </w:r>
      <w:r w:rsidR="00E92707" w:rsidRPr="00515AA5">
        <w:rPr>
          <w:rFonts w:cs="Times New Roman"/>
          <w:noProof/>
          <w:szCs w:val="24"/>
        </w:rPr>
        <w:t>Tsui et al. 2014</w:t>
      </w:r>
      <w:r w:rsidR="00E92707" w:rsidRPr="00515AA5">
        <w:rPr>
          <w:rFonts w:cs="Times New Roman"/>
          <w:noProof/>
          <w:szCs w:val="24"/>
        </w:rPr>
        <w:fldChar w:fldCharType="end"/>
      </w:r>
      <w:r w:rsidR="00E92707" w:rsidRPr="00515AA5">
        <w:rPr>
          <w:rFonts w:cs="Times New Roman"/>
          <w:noProof/>
          <w:szCs w:val="24"/>
        </w:rPr>
        <w:t>;</w:t>
      </w:r>
      <w:r w:rsidR="00E92707">
        <w:rPr>
          <w:rFonts w:cs="Times New Roman"/>
          <w:noProof/>
          <w:szCs w:val="24"/>
        </w:rPr>
        <w:t xml:space="preserve"> </w:t>
      </w:r>
      <w:r w:rsidR="00E92707" w:rsidRPr="00515AA5">
        <w:rPr>
          <w:rFonts w:cs="Times New Roman"/>
          <w:noProof/>
          <w:szCs w:val="24"/>
        </w:rPr>
        <w:t>Valdes 2015</w:t>
      </w:r>
      <w:r w:rsidR="00E92707" w:rsidRPr="00515AA5">
        <w:rPr>
          <w:rFonts w:cs="Times New Roman"/>
          <w:szCs w:val="24"/>
        </w:rPr>
        <w:fldChar w:fldCharType="end"/>
      </w:r>
      <w:r w:rsidR="00E92707">
        <w:rPr>
          <w:rFonts w:cs="Times New Roman"/>
          <w:szCs w:val="24"/>
        </w:rPr>
        <w:t>;</w:t>
      </w:r>
      <w:r w:rsidR="00E92707">
        <w:rPr>
          <w:rFonts w:cs="Times New Roman"/>
          <w:noProof/>
          <w:szCs w:val="24"/>
        </w:rPr>
        <w:t xml:space="preserve"> </w:t>
      </w:r>
      <w:r w:rsidR="00E92707">
        <w:rPr>
          <w:rFonts w:cs="Times New Roman"/>
          <w:noProof/>
          <w:szCs w:val="24"/>
        </w:rPr>
        <w:fldChar w:fldCharType="begin" w:fldLock="1"/>
      </w:r>
      <w:r w:rsidR="00E92707">
        <w:rPr>
          <w:rFonts w:cs="Times New Roman"/>
          <w:noProof/>
          <w:szCs w:val="24"/>
        </w:rPr>
        <w:instrText>ADDIN CSL_CITATION {"citationItems":[{"id":"ITEM-1","itemData":{"DOI":"10.1007/s11227-018-2452-0","ISSN":"15730484","abstract":"During the past few decades, many researchers have studied the issue of air travel demand in different countries. On the other hand, the development of airports requires considerable space in the vicinity of cities which needs planning and huge investment. However, development of air travel through different airports will be affected by various factors such as population growth and economic development. The purpose of this study is to predict air travel demand in Iran. Data were provided by the Civil Aviation Organization of Islamic Republic of Iran from 2011 to 2015. Collected information includes airports of the country and destination cities all across the country. For this purpose, the artificial neural network (ANN) is used to predict the air travel demand by considering income elasticity and population size in each zone. Evolutionary meta-heuristic algorithms have been implemented in order to improve the performance of ANN. Bat and Firefly algorithms are new meta-heuristic algorithms which have been examined in this study. The results show that the use of these algorithms increases adaptation rate of neural network (NN) prediction with real data. The coefficient of determination increases from 0.2 up to about 0.9 while using the meta-heuristics NN. This represents the high rate of efficiency using this new method.","author":[{"dropping-particle":"","family":"Mostafaeipour","given":"Ali","non-dropping-particle":"","parse-names":false,"suffix":""},{"dropping-particle":"","family":"Goli","given":"Alireza","non-dropping-particle":"","parse-names":false,"suffix":""},{"dropping-particle":"","family":"Qolipour","given":"Mojtaba","non-dropping-particle":"","parse-names":false,"suffix":""}],"container-title":"Journal of Supercomputing","id":"ITEM-1","issue":"10","issued":{"date-parts":[["2018"]]},"page":"5461-5484","publisher":"Springer US","title":"Prediction of air travel demand using a hybrid artificial neural network (ANN) with Bat and Firefly algorithms: a case study","type":"article-journal","volume":"74"},"uris":["http://www.mendeley.com/documents/?uuid=fc9ac4fc-8cfd-44c3-8e91-b419cd828647"]}],"mendeley":{"formattedCitation":"(Mostafaeipour et al. 2018)","manualFormatting":"Mostafaeipour et al. 2018","plainTextFormattedCitation":"(Mostafaeipour et al. 2018)","previouslyFormattedCitation":"(Mostafaeipour et al. 2018)"},"properties":{"noteIndex":0},"schema":"https://github.com/citation-style-language/schema/raw/master/csl-citation.json"}</w:instrText>
      </w:r>
      <w:r w:rsidR="00E92707">
        <w:rPr>
          <w:rFonts w:cs="Times New Roman"/>
          <w:noProof/>
          <w:szCs w:val="24"/>
        </w:rPr>
        <w:fldChar w:fldCharType="separate"/>
      </w:r>
      <w:r w:rsidR="00E92707" w:rsidRPr="00E87717">
        <w:rPr>
          <w:rFonts w:cs="Times New Roman"/>
          <w:noProof/>
          <w:szCs w:val="24"/>
        </w:rPr>
        <w:t>Mostafaeipour</w:t>
      </w:r>
      <w:r w:rsidR="00E92707">
        <w:rPr>
          <w:rFonts w:cs="Times New Roman"/>
          <w:noProof/>
          <w:szCs w:val="24"/>
        </w:rPr>
        <w:t xml:space="preserve"> et al.</w:t>
      </w:r>
      <w:r w:rsidR="00E92707" w:rsidRPr="00E87717">
        <w:rPr>
          <w:rFonts w:cs="Times New Roman"/>
          <w:noProof/>
          <w:szCs w:val="24"/>
        </w:rPr>
        <w:t xml:space="preserve"> 2018</w:t>
      </w:r>
      <w:r w:rsidR="00E92707">
        <w:rPr>
          <w:rFonts w:cs="Times New Roman"/>
          <w:noProof/>
          <w:szCs w:val="24"/>
        </w:rPr>
        <w:fldChar w:fldCharType="end"/>
      </w:r>
      <w:r w:rsidR="006039A8">
        <w:rPr>
          <w:rFonts w:cs="Times New Roman"/>
          <w:noProof/>
          <w:szCs w:val="24"/>
        </w:rPr>
        <w:t xml:space="preserve">; </w:t>
      </w:r>
      <w:r w:rsidR="006039A8">
        <w:rPr>
          <w:rFonts w:cs="Times New Roman"/>
          <w:noProof/>
          <w:szCs w:val="24"/>
        </w:rPr>
        <w:fldChar w:fldCharType="begin" w:fldLock="1"/>
      </w:r>
      <w:r w:rsidR="008B2A2E">
        <w:rPr>
          <w:rFonts w:cs="Times New Roman"/>
          <w:noProof/>
          <w:szCs w:val="24"/>
        </w:rPr>
        <w:instrText>ADDIN CSL_CITATION {"citationItems":[{"id":"ITEM-1","itemData":{"DOI":"10.1016/j.jairtraman.2020.101818","ISSN":"09696997","abstract":"Investigating the determinants of air passenger traffic has become commonplace. In contrast with most previous publications, this paper investigates these determinants in an emerging country, Turkey, at the provincial level between 2004 and 2014. We find that GDP/capita, population, distance to alternative airports, tourism, leading cities, and international migrations all support more air traffic. Furthermore, market concentration is associated with less traffic, and the presence of academics with more traffic. Mapping models' residuals suggest catchment areas, surface transport options, domestic migrations and (geo)politics could also matter. Accordingly, it appears the determinants of Turkey's air passenger traffic do not differ from those of developed economies. The results also suggest new airports should be built based on the aforementioned factors.","author":[{"dropping-particle":"","family":"Kağan Albayrak","given":"Muhammed Bilge","non-dropping-particle":"","parse-names":false,"suffix":""},{"dropping-particle":"","family":"Özcan","given":"İsmail Çağrı","non-dropping-particle":"","parse-names":false,"suffix":""},{"dropping-particle":"","family":"Can","given":"Raif","non-dropping-particle":"","parse-names":false,"suffix":""},{"dropping-particle":"","family":"Dobruszkes","given":"Frédéric","non-dropping-particle":"","parse-names":false,"suffix":""}],"container-title":"Journal of Air Transport Management","id":"ITEM-1","issue":"February","issued":{"date-parts":[["2020"]]},"title":"The determinants of air passenger traffic at Turkish airports","type":"article-journal","volume":"86"},"uris":["http://www.mendeley.com/documents/?uuid=f71e8e1e-0aae-436b-ba33-e21668d6b2a6"]}],"mendeley":{"formattedCitation":"(Kağan Albayrak et al. 2020)","manualFormatting":"Kağan Albayrak et al. 2020","plainTextFormattedCitation":"(Kağan Albayrak et al. 2020)","previouslyFormattedCitation":"(Kağan Albayrak et al. 2020)"},"properties":{"noteIndex":0},"schema":"https://github.com/citation-style-language/schema/raw/master/csl-citation.json"}</w:instrText>
      </w:r>
      <w:r w:rsidR="006039A8">
        <w:rPr>
          <w:rFonts w:cs="Times New Roman"/>
          <w:noProof/>
          <w:szCs w:val="24"/>
        </w:rPr>
        <w:fldChar w:fldCharType="separate"/>
      </w:r>
      <w:r w:rsidR="006039A8" w:rsidRPr="006039A8">
        <w:rPr>
          <w:rFonts w:cs="Times New Roman"/>
          <w:noProof/>
          <w:szCs w:val="24"/>
        </w:rPr>
        <w:t>Albayrak et al. 2020</w:t>
      </w:r>
      <w:r w:rsidR="006039A8">
        <w:rPr>
          <w:rFonts w:cs="Times New Roman"/>
          <w:noProof/>
          <w:szCs w:val="24"/>
        </w:rPr>
        <w:fldChar w:fldCharType="end"/>
      </w:r>
      <w:r w:rsidR="00E92707">
        <w:t>) and airport level (</w:t>
      </w:r>
      <w:r w:rsidR="00E92707" w:rsidRPr="00515AA5">
        <w:rPr>
          <w:rFonts w:cs="Times New Roman"/>
          <w:szCs w:val="24"/>
        </w:rPr>
        <w:fldChar w:fldCharType="begin" w:fldLock="1"/>
      </w:r>
      <w:r w:rsidR="00E92707">
        <w:rPr>
          <w:rFonts w:cs="Times New Roman"/>
          <w:szCs w:val="24"/>
        </w:rPr>
        <w:instrText>ADDIN CSL_CITATION {"citationItems":[{"id":"ITEM-1","itemData":{"DOI":"10.1016/j.eswa.2009.07.041","ISSN":"09574174","abstract":"This paper deals with how to develop a model to forecast air passenger demand and to evaluate some policy scenarios related with runway and passenger terminal capacity expansion to meet the future demand. System dynamics frameworks can be used to model, to analyze and to generate scenario to increase the system performance because of its capability of representing physical and information flows, based on information feedback control that are continuously converted into decisions and actions. We found that airfare impact, level of service impact, GDP, population, number of flights per day and dwell time play an important roles in determining the air passenger volume, runway utilization and total additional area needed for passenger terminal capacity expansion. © 2009 Elsevier Ltd. All rights reserved.","author":[{"dropping-particle":"","family":"Suryani","given":"Erma","non-dropping-particle":"","parse-names":false,"suffix":""},{"dropping-particle":"","family":"Chou","given":"Shuo Yan","non-dropping-particle":"","parse-names":false,"suffix":""},{"dropping-particle":"","family":"Chen","given":"Chih Hsien","non-dropping-particle":"","parse-names":false,"suffix":""}],"container-title":"Expert Systems with Applications","id":"ITEM-1","issue":"3","issued":{"date-parts":[["2010"]]},"page":"2324-2339","publisher":"Elsevier Ltd","title":"Air passenger demand forecasting and passenger terminal capacity expansion: A system dynamics framework","type":"article-journal","volume":"37"},"uris":["http://www.mendeley.com/documents/?uuid=dacf952d-d357-4904-bda9-04b4b3706048"]}],"mendeley":{"formattedCitation":"(Suryani et al. 2010)","manualFormatting":"Suryani et al. 2010","plainTextFormattedCitation":"(Suryani et al. 2010)","previouslyFormattedCitation":"(Suryani et al. 2010)"},"properties":{"noteIndex":0},"schema":"https://github.com/citation-style-language/schema/raw/master/csl-citation.json"}</w:instrText>
      </w:r>
      <w:r w:rsidR="00E92707" w:rsidRPr="00515AA5">
        <w:rPr>
          <w:rFonts w:cs="Times New Roman"/>
          <w:szCs w:val="24"/>
        </w:rPr>
        <w:fldChar w:fldCharType="separate"/>
      </w:r>
      <w:r w:rsidR="00E92707" w:rsidRPr="00515AA5">
        <w:rPr>
          <w:rFonts w:cs="Times New Roman"/>
          <w:noProof/>
          <w:szCs w:val="24"/>
        </w:rPr>
        <w:t>Suryani et al. 2010</w:t>
      </w:r>
      <w:r w:rsidR="00E92707" w:rsidRPr="00515AA5">
        <w:rPr>
          <w:rFonts w:cs="Times New Roman"/>
          <w:szCs w:val="24"/>
        </w:rPr>
        <w:fldChar w:fldCharType="end"/>
      </w:r>
      <w:r w:rsidR="00E92707" w:rsidRPr="00515AA5">
        <w:rPr>
          <w:rFonts w:cs="Times New Roman"/>
          <w:szCs w:val="24"/>
        </w:rPr>
        <w:t>;</w:t>
      </w:r>
      <w:r w:rsidR="00E92707" w:rsidRPr="00CC09AE">
        <w:rPr>
          <w:rFonts w:cs="Times New Roman"/>
          <w:noProof/>
          <w:szCs w:val="24"/>
        </w:rPr>
        <w:t xml:space="preserve"> </w:t>
      </w:r>
      <w:r w:rsidR="00E92707" w:rsidRPr="00515AA5">
        <w:rPr>
          <w:rFonts w:cs="Times New Roman"/>
          <w:noProof/>
          <w:szCs w:val="24"/>
        </w:rPr>
        <w:fldChar w:fldCharType="begin" w:fldLock="1"/>
      </w:r>
      <w:r w:rsidR="00E92707">
        <w:rPr>
          <w:rFonts w:cs="Times New Roman"/>
          <w:noProof/>
          <w:szCs w:val="24"/>
        </w:rPr>
        <w:instrText>ADDIN CSL_CITATION {"citationItems":[{"id":"ITEM-1","itemData":{"DOI":"10.1016/j.jairtraman.2018.05.001","ISSN":"09696997","abstract":"The aviation industry in Western Australia (WA) plays a vital role in the economic and social development of the state. However, accurate forecasts for passenger movements are not available to policy makers due to lack of relevant air travel demand information. The objective of this study is to estimate the domestic air passenger seat numbers between airport-pairs based on online flight information in regional WA based on a gravity model using Poisson pseudo-maximum likelihood estimation (PPML). Particularly, we aim to investigate the impact of distance, airfare, catchment areas, population, tourism and mining sector on forecasting air passenger seat numbers in order to inform and guide policy making. This research collected appropriate data and produced valid models that represent air passenger seat numbers offered on regular public transport (RPT) air services in regional WA. The models consider both geographic and service-related variables, such as the catchment area of airports, population and number of tourists in the airport's catchment area. Two kinds of airport catchment areas are generated in this study, based on Thiessen polygon and two and half hours’ driving distance. The Thiessen polygon catchment areas cover the whole WA regions, while the 2.5 h's driving catchment area covers only 32 percent of the WA region. The size of the catchment area can affect the magnitude of factors, and therefore influence the modelling results. When deciding the catchment area for the study, it is important to take the spatial distribution of factors into considerations. For both Thiessen polygon and two and half hours’ driving distance catchment area, the model results illustrate that distance between airports, airfare of the flight, population of the origin airport's catchment area and the number of operating mine sites of the destination airport's catchment area are significantly correlated with domestic air travel seat capacity provided. Given the guidance from policy documents and policy makers, the results will improve the understanding of the key parameters of regional passenger aviation services and help to guide policy makers considering regional passenger aviation issues. The outcome of this study would be useful for and guide policy development.","author":[{"dropping-particle":"","family":"Zhou","given":"Heng","non-dropping-particle":"","parse-names":false,"suffix":""},{"dropping-particle":"","family":"Xia","given":"Jianhong (Cecilia)","non-dropping-particle":"","parse-names":false,"suffix":""},{"dropping-particle":"","family":"Luo","given":"Qingzhou","non-dropping-particle":"","parse-names":false,"suffix":""},{"dropping-particle":"","family":"Nikolova","given":"Gabi","non-dropping-particle":"","parse-names":false,"suffix":""},{"dropping-particle":"","family":"Sun","given":"Jie","non-dropping-particle":"","parse-names":false,"suffix":""},{"dropping-particle":"","family":"Hughes","given":"Brett","non-dropping-particle":"","parse-names":false,"suffix":""},{"dropping-particle":"","family":"Kelobonye","given":"Keone","non-dropping-particle":"","parse-names":false,"suffix":""},{"dropping-particle":"","family":"Wang","given":"Hui","non-dropping-particle":"","parse-names":false,"suffix":""},{"dropping-particle":"","family":"Falkmer","given":"Torbjorn","non-dropping-particle":"","parse-names":false,"suffix":""}],"container-title":"Journal of Air Transport Management","id":"ITEM-1","issue":"May","issued":{"date-parts":[["2018"]]},"page":"91-103","publisher":"Elsevier Ltd","title":"Investigating the impact of catchment areas of airports on estimating air travel demand: A case study of regional Western Australia","type":"article-journal","volume":"70"},"uris":["http://www.mendeley.com/documents/?uuid=6cdd5006-a5ff-43fb-804f-a44e120fd10a"]}],"mendeley":{"formattedCitation":"(Zhou et al. 2018)","manualFormatting":"Zhou et al. 2018","plainTextFormattedCitation":"(Zhou et al. 2018)","previouslyFormattedCitation":"(Zhou et al. 2018)"},"properties":{"noteIndex":0},"schema":"https://github.com/citation-style-language/schema/raw/master/csl-citation.json"}</w:instrText>
      </w:r>
      <w:r w:rsidR="00E92707" w:rsidRPr="00515AA5">
        <w:rPr>
          <w:rFonts w:cs="Times New Roman"/>
          <w:noProof/>
          <w:szCs w:val="24"/>
        </w:rPr>
        <w:fldChar w:fldCharType="separate"/>
      </w:r>
      <w:r w:rsidR="00E92707" w:rsidRPr="00515AA5">
        <w:rPr>
          <w:rFonts w:cs="Times New Roman"/>
          <w:noProof/>
          <w:szCs w:val="24"/>
        </w:rPr>
        <w:t>Zhou et al. 2018</w:t>
      </w:r>
      <w:r w:rsidR="00E92707" w:rsidRPr="00515AA5">
        <w:rPr>
          <w:rFonts w:cs="Times New Roman"/>
          <w:noProof/>
          <w:szCs w:val="24"/>
        </w:rPr>
        <w:fldChar w:fldCharType="end"/>
      </w:r>
      <w:r w:rsidR="00E92707">
        <w:rPr>
          <w:rFonts w:cs="Times New Roman"/>
          <w:noProof/>
          <w:szCs w:val="24"/>
        </w:rPr>
        <w:t xml:space="preserve">; </w:t>
      </w:r>
      <w:r w:rsidR="00E92707" w:rsidRPr="00515AA5">
        <w:rPr>
          <w:rFonts w:cs="Times New Roman"/>
          <w:szCs w:val="24"/>
        </w:rPr>
        <w:fldChar w:fldCharType="begin" w:fldLock="1"/>
      </w:r>
      <w:r w:rsidR="00E92707">
        <w:rPr>
          <w:rFonts w:cs="Times New Roman"/>
          <w:szCs w:val="24"/>
        </w:rPr>
        <w:instrText>ADDIN CSL_CITATION {"citationItems":[{"id":"ITEM-1","itemData":{"DOI":"10.1016/j.tre.2019.09.018","ISSN":"13665545","abstract":"The historical air travel demand plays an important role in the analysis of, for example, major changes in airport use, airport and airline marketing, and airport planning. We provide a bi-level optimization model as a relatively quick and less expensive alternative to survey method to estimate the originating air travel demand and its geographic distribution at an airport. The lower-level model estimates the geographic distribution of originating air travel demand and model coefficients. The upper-level model estimates the airport access distance threshold which is used to model traveler's airport choice behaviors in the lower-level model. We adopt an Evolutionary Algorithm (EA) to solve the bi-level optimization model. A General Reduced Gradient solution algorithm is used within the EA to solve the lower-level model. We present a real-world case study in which we apply the model to estimate the originating air travel demand and its geographic distribution on the contiguous United States. The model estimates are generally close to the statistics from the American Travel Survey. The comparisons of the model estimates with the statistics from the Washington-Baltimore regional air passenger survey show mixed results. Possible reasons for the estimation errors are identified.","author":[{"dropping-particle":"","family":"Li","given":"Tao","non-dropping-particle":"","parse-names":false,"suffix":""},{"dropping-particle":"","family":"Wan","given":"Yan","non-dropping-particle":"","parse-names":false,"suffix":""}],"container-title":"Transportation Research Part E: Logistics and Transportation Review","id":"ITEM-1","issue":"October","issued":{"date-parts":[["2019"]]},"page":"267-291","publisher":"Elsevier","title":"Estimating the geographic distribution of originating air travel demand using a bi-level optimization model","type":"article-journal","volume":"131"},"uris":["http://www.mendeley.com/documents/?uuid=ce757b53-ab61-4db4-b989-a2378ba0008a"]},{"id":"ITEM-2","itemData":{"DOI":"10.1016/j.jairtraman.2018.05.001","ISSN":"09696997","abstract":"The aviation industry in Western Australia (WA) plays a vital role in the economic and social development of the state. However, accurate forecasts for passenger movements are not available to policy makers due to lack of relevant air travel demand information. The objective of this study is to estimate the domestic air passenger seat numbers between airport-pairs based on online flight information in regional WA based on a gravity model using Poisson pseudo-maximum likelihood estimation (PPML). Particularly, we aim to investigate the impact of distance, airfare, catchment areas, population, tourism and mining sector on forecasting air passenger seat numbers in order to inform and guide policy making. This research collected appropriate data and produced valid models that represent air passenger seat numbers offered on regular public transport (RPT) air services in regional WA. The models consider both geographic and service-related variables, such as the catchment area of airports, population and number of tourists in the airport's catchment area. Two kinds of airport catchment areas are generated in this study, based on Thiessen polygon and two and half hours’ driving distance. The Thiessen polygon catchment areas cover the whole WA regions, while the 2.5 h's driving catchment area covers only 32 percent of the WA region. The size of the catchment area can affect the magnitude of factors, and therefore influence the modelling results. When deciding the catchment area for the study, it is important to take the spatial distribution of factors into considerations. For both Thiessen polygon and two and half hours’ driving distance catchment area, the model results illustrate that distance between airports, airfare of the flight, population of the origin airport's catchment area and the number of operating mine sites of the destination airport's catchment area are significantly correlated with domestic air travel seat capacity provided. Given the guidance from policy documents and policy makers, the results will improve the understanding of the key parameters of regional passenger aviation services and help to guide policy makers considering regional passenger aviation issues. The outcome of this study would be useful for and guide policy development.","author":[{"dropping-particle":"","family":"Zhou","given":"Heng","non-dropping-particle":"","parse-names":false,"suffix":""},{"dropping-particle":"","family":"Xia","given":"Jianhong (Cecilia)","non-dropping-particle":"","parse-names":false,"suffix":""},{"dropping-particle":"","family":"Luo","given":"Qingzhou","non-dropping-particle":"","parse-names":false,"suffix":""},{"dropping-particle":"","family":"Nikolova","given":"Gabi","non-dropping-particle":"","parse-names":false,"suffix":""},{"dropping-particle":"","family":"Sun","given":"Jie","non-dropping-particle":"","parse-names":false,"suffix":""},{"dropping-particle":"","family":"Hughes","given":"Brett","non-dropping-particle":"","parse-names":false,"suffix":""},{"dropping-particle":"","family":"Kelobonye","given":"Keone","non-dropping-particle":"","parse-names":false,"suffix":""},{"dropping-particle":"","family":"Wang","given":"Hui","non-dropping-particle":"","parse-names":false,"suffix":""},{"dropping-particle":"","family":"Falkmer","given":"Torbjorn","non-dropping-particle":"","parse-names":false,"suffix":""}],"container-title":"Journal of Air Transport Management","id":"ITEM-2","issue":"May","issued":{"date-parts":[["2018"]]},"page":"91-103","publisher":"Elsevier Ltd","title":"Investigating the impact of catchment areas of airports on estimating air travel demand: A case study of regional Western Australia","type":"article-journal","volume":"70"},"uris":["http://www.mendeley.com/documents/?uuid=6cdd5006-a5ff-43fb-804f-a44e120fd10a"]}],"mendeley":{"formattedCitation":"(Zhou et al. 2018; Li and Wan 2019)","manualFormatting":"Li and Wan 2019","plainTextFormattedCitation":"(Zhou et al. 2018; Li and Wan 2019)","previouslyFormattedCitation":"(Zhou et al. 2018; Li and Wan 2019)"},"properties":{"noteIndex":0},"schema":"https://github.com/citation-style-language/schema/raw/master/csl-citation.json"}</w:instrText>
      </w:r>
      <w:r w:rsidR="00E92707" w:rsidRPr="00515AA5">
        <w:rPr>
          <w:rFonts w:cs="Times New Roman"/>
          <w:szCs w:val="24"/>
        </w:rPr>
        <w:fldChar w:fldCharType="separate"/>
      </w:r>
      <w:r w:rsidR="00E92707" w:rsidRPr="00515AA5">
        <w:rPr>
          <w:rFonts w:cs="Times New Roman"/>
          <w:noProof/>
          <w:szCs w:val="24"/>
        </w:rPr>
        <w:t xml:space="preserve">Li </w:t>
      </w:r>
      <w:r w:rsidR="00E92707">
        <w:rPr>
          <w:rFonts w:cs="Times New Roman"/>
          <w:noProof/>
          <w:szCs w:val="24"/>
        </w:rPr>
        <w:t>and</w:t>
      </w:r>
      <w:r w:rsidR="00E92707" w:rsidRPr="00515AA5">
        <w:rPr>
          <w:rFonts w:cs="Times New Roman"/>
          <w:noProof/>
          <w:szCs w:val="24"/>
        </w:rPr>
        <w:t xml:space="preserve"> Wan 2019</w:t>
      </w:r>
      <w:r w:rsidR="00E92707" w:rsidRPr="00515AA5">
        <w:rPr>
          <w:rFonts w:cs="Times New Roman"/>
          <w:szCs w:val="24"/>
        </w:rPr>
        <w:fldChar w:fldCharType="end"/>
      </w:r>
      <w:r w:rsidR="008B2A2E">
        <w:rPr>
          <w:rFonts w:cs="Times New Roman"/>
          <w:szCs w:val="24"/>
        </w:rPr>
        <w:t xml:space="preserve">; </w:t>
      </w:r>
      <w:r w:rsidR="008B2A2E">
        <w:rPr>
          <w:rFonts w:cs="Times New Roman"/>
          <w:szCs w:val="24"/>
        </w:rPr>
        <w:fldChar w:fldCharType="begin" w:fldLock="1"/>
      </w:r>
      <w:r w:rsidR="008B2A2E">
        <w:rPr>
          <w:rFonts w:cs="Times New Roman"/>
          <w:szCs w:val="24"/>
        </w:rPr>
        <w:instrText>ADDIN CSL_CITATION {"citationItems":[{"id":"ITEM-1","itemData":{"DOI":"10.1016/j.tra.2022.03.014","ISSN":"09658564","abstract":"In this study, we examine the influence of Coronavirus disease 2019 (COVID-19) on airline demand at the disaggregate resolution of airport. The primary focus of our proposed research effort is to develop a framework that provides a blueprint for airline demand recovery as COVID-19 cases evolve over time. Airline monthly demand data is sourced from Bureau of Transportation Statistics for 380 airports for 24 months from January 2019 through December 2020. The demand data is augmented with a host of independent variables including COVID-19 related factors, demographic characteristics and built environment characteristics at the county level, airport specific factors, spatial factors, temporal factors, and adjoining county attributes. The effect of COVID-19 related factors is identified by considering global and local COVID-19 transmission, temporal indicators of pandemic start and progress, and interactions of airline demand predictors with global and local COVID-19 indicators. Finally, we present a blueprint for airline demand recovery where we consider three hypothetical scenarios of COVID-19 transmission rates – expected, pessimistic and optimistic. The results at the airport level from these scenarios are aggregated at the state or regional level by adding the demand from all airports in the corresponding state or region. These trends are presented by State and Region to illustrate potential differences across various scenarios. The results highlight a potentially slow path to airline demand recovery until COVID-19 cases subside.","author":[{"dropping-particle":"","family":"Dey Tirtha","given":"Sudipta","non-dropping-particle":"","parse-names":false,"suffix":""},{"dropping-particle":"","family":"Bhowmik","given":"Tanmoy","non-dropping-particle":"","parse-names":false,"suffix":""},{"dropping-particle":"","family":"Eluru","given":"Naveen","non-dropping-particle":"","parse-names":false,"suffix":""}],"container-title":"Transportation Research Part A: Policy and Practice","id":"ITEM-1","issue":"March","issued":{"date-parts":[["2022"]]},"page":"169-181","publisher":"Elsevier Ltd","title":"An airport level framework for examining the impact of COVID-19 on airline demand","type":"article-journal","volume":"159"},"uris":["http://www.mendeley.com/documents/?uuid=f1c264ea-4873-47b6-b94f-819a1b38cfbb"]}],"mendeley":{"formattedCitation":"(Dey Tirtha et al. 2022)","manualFormatting":"Tirtha et al. 2022","plainTextFormattedCitation":"(Dey Tirtha et al. 2022)","previouslyFormattedCitation":"(Dey Tirtha et al. 2022)"},"properties":{"noteIndex":0},"schema":"https://github.com/citation-style-language/schema/raw/master/csl-citation.json"}</w:instrText>
      </w:r>
      <w:r w:rsidR="008B2A2E">
        <w:rPr>
          <w:rFonts w:cs="Times New Roman"/>
          <w:szCs w:val="24"/>
        </w:rPr>
        <w:fldChar w:fldCharType="separate"/>
      </w:r>
      <w:r w:rsidR="008B2A2E" w:rsidRPr="008B2A2E">
        <w:rPr>
          <w:rFonts w:cs="Times New Roman"/>
          <w:noProof/>
          <w:szCs w:val="24"/>
        </w:rPr>
        <w:t>Tirtha et al. 2022</w:t>
      </w:r>
      <w:r w:rsidR="008B2A2E">
        <w:rPr>
          <w:rFonts w:cs="Times New Roman"/>
          <w:szCs w:val="24"/>
        </w:rPr>
        <w:fldChar w:fldCharType="end"/>
      </w:r>
      <w:r w:rsidR="00E92707">
        <w:t>). Among different mathematical approaches, linear regression model and its variants (</w:t>
      </w:r>
      <w:r w:rsidR="00E92707" w:rsidRPr="00515AA5">
        <w:rPr>
          <w:rFonts w:eastAsia="Times New Roman" w:cs="Times New Roman"/>
          <w:color w:val="000000"/>
          <w:szCs w:val="24"/>
        </w:rPr>
        <w:fldChar w:fldCharType="begin" w:fldLock="1"/>
      </w:r>
      <w:r w:rsidR="00E92707">
        <w:rPr>
          <w:rFonts w:eastAsia="Times New Roman" w:cs="Times New Roman"/>
          <w:color w:val="000000"/>
          <w:szCs w:val="24"/>
        </w:rPr>
        <w:instrText>ADDIN CSL_CITATION {"citationItems":[{"id":"ITEM-1","itemData":{"DOI":"10.1016/j.jairtraman.2013.09.003","ISSN":"09696997","abstract":"Gravity models have long served as a framework for analyzing bilateral flows, trade and many other activities. To estimate a gravity model, (parametric) linear regression techniques have been commonly employed to develop the relationship between passenger flows and factors that can significantly influence these flows. This study explores the application of an alternative method, the non-parametric multivariate adaptive regression spline (MARS) technique, to identify the determinants for air passenger flows between pairs of countries. The data of 2006 and 2007 air passenger flows between pairs of countries in the APEC region were collected to develop the MARS models. Results indicate that distance between the countries, annual import value, national per capita income, unemployment rate and consumer price index of the origin country, as well as GDP, annual import value, and consumer price index of the destination country are significant determinants for bilateral air passenger flows. © 2013 Elsevier Ltd.","author":[{"dropping-particle":"","family":"Chang","given":"Li Yen","non-dropping-particle":"","parse-names":false,"suffix":""}],"container-title":"Journal of Air Transport Management","id":"ITEM-1","issued":{"date-parts":[["2014"]]},"page":"123-130","publisher":"Elsevier Ltd","title":"Analysis of bilateral air passenger flows: A non-parametric multivariate adaptive regression spline approach","type":"article-journal","volume":"34"},"uris":["http://www.mendeley.com/documents/?uuid=dc1aa82c-faac-40ee-bdb6-208d5eb105a4"]}],"mendeley":{"formattedCitation":"(Chang 2014)","manualFormatting":"Chang 2014","plainTextFormattedCitation":"(Chang 2014)","previouslyFormattedCitation":"(Chang 2014)"},"properties":{"noteIndex":0},"schema":"https://github.com/citation-style-language/schema/raw/master/csl-citation.json"}</w:instrText>
      </w:r>
      <w:r w:rsidR="00E92707" w:rsidRPr="00515AA5">
        <w:rPr>
          <w:rFonts w:eastAsia="Times New Roman" w:cs="Times New Roman"/>
          <w:color w:val="000000"/>
          <w:szCs w:val="24"/>
        </w:rPr>
        <w:fldChar w:fldCharType="separate"/>
      </w:r>
      <w:r w:rsidR="00E92707" w:rsidRPr="00515AA5">
        <w:rPr>
          <w:rFonts w:eastAsia="Times New Roman" w:cs="Times New Roman"/>
          <w:noProof/>
          <w:color w:val="000000"/>
          <w:szCs w:val="24"/>
        </w:rPr>
        <w:t>Chang 2014</w:t>
      </w:r>
      <w:r w:rsidR="00E92707" w:rsidRPr="00515AA5">
        <w:rPr>
          <w:rFonts w:eastAsia="Times New Roman" w:cs="Times New Roman"/>
          <w:color w:val="000000"/>
          <w:szCs w:val="24"/>
        </w:rPr>
        <w:fldChar w:fldCharType="end"/>
      </w:r>
      <w:r w:rsidR="00E92707">
        <w:rPr>
          <w:rFonts w:eastAsia="Times New Roman" w:cs="Times New Roman"/>
          <w:color w:val="000000"/>
          <w:szCs w:val="24"/>
        </w:rPr>
        <w:t xml:space="preserve">; </w:t>
      </w:r>
      <w:r w:rsidR="00E92707" w:rsidRPr="00515AA5">
        <w:rPr>
          <w:rFonts w:eastAsia="Times New Roman" w:cs="Times New Roman"/>
          <w:color w:val="000000"/>
          <w:szCs w:val="24"/>
        </w:rPr>
        <w:fldChar w:fldCharType="begin" w:fldLock="1"/>
      </w:r>
      <w:r w:rsidR="00E92707">
        <w:rPr>
          <w:rFonts w:eastAsia="Times New Roman" w:cs="Times New Roman"/>
          <w:color w:val="000000"/>
          <w:szCs w:val="24"/>
        </w:rPr>
        <w:instrText>ADDIN CSL_CITATION {"citationItems":[{"id":"ITEM-1","itemData":{"DOI":"10.1016/j.jairtraman.2014.03.007","ISSN":"09696997","abstract":"Demand for international air travel has risen over the past decade causing international visitation to the US to reach a record high in 2012. This paper assesses the dynamic impacts of GDP, exchange rate, and the 9/11 terrorist attacks on bilateral air travel flows between the US and its 11 major travel and trading partners. An autoregressive distributed lag modeling approach is employed to estimate short- and long-run relationships between variables. Long-run results demonstrate foreign GDP as the major determinant of demand for inbound travel to the US and US GDP is a crucial factor affecting demand for outbound travel from the US. These findings support a strong linkage between economic growth and demand for international air travel. The real exchange rate has relatively little impact on the bilateral air travel flows. The US dollar appreciation against foreign currencies is found to reduce demand for inbound travel to the US, while having mixed effects on outbound travel from the US. In the short-run, economic growth tends to be a primary factor influencing international travel flows to and from the US. The 9/11 market shock has a detrimental short- and long-run effect on the bilateral air travel flows, implying that the impact of 9/11 is prolonged in international air travel markets. © 2014 Elsevier Ltd.","author":[{"dropping-particle":"","family":"Chi","given":"Junwook","non-dropping-particle":"","parse-names":false,"suffix":""}],"container-title":"Journal of Air Transport Management","id":"ITEM-1","issued":{"date-parts":[["2014"]]},"page":"41-47","publisher":"Elsevier Ltd","title":"A cointegration analysis of bilateral air travel flows: The case of international travel to and from the United States","type":"article-journal","volume":"39"},"uris":["http://www.mendeley.com/documents/?uuid=4dbb035d-41ea-4ac0-9ab5-1240c9ef014c"]}],"mendeley":{"formattedCitation":"(Chi 2014)","manualFormatting":"Chi 2014","plainTextFormattedCitation":"(Chi 2014)","previouslyFormattedCitation":"(Chi 2014)"},"properties":{"noteIndex":0},"schema":"https://github.com/citation-style-language/schema/raw/master/csl-citation.json"}</w:instrText>
      </w:r>
      <w:r w:rsidR="00E92707" w:rsidRPr="00515AA5">
        <w:rPr>
          <w:rFonts w:eastAsia="Times New Roman" w:cs="Times New Roman"/>
          <w:color w:val="000000"/>
          <w:szCs w:val="24"/>
        </w:rPr>
        <w:fldChar w:fldCharType="separate"/>
      </w:r>
      <w:r w:rsidR="00E92707" w:rsidRPr="00515AA5">
        <w:rPr>
          <w:rFonts w:eastAsia="Times New Roman" w:cs="Times New Roman"/>
          <w:noProof/>
          <w:color w:val="000000"/>
          <w:szCs w:val="24"/>
        </w:rPr>
        <w:t>Chi 2014</w:t>
      </w:r>
      <w:r w:rsidR="00E92707" w:rsidRPr="00515AA5">
        <w:rPr>
          <w:rFonts w:eastAsia="Times New Roman" w:cs="Times New Roman"/>
          <w:color w:val="000000"/>
          <w:szCs w:val="24"/>
        </w:rPr>
        <w:fldChar w:fldCharType="end"/>
      </w:r>
      <w:r w:rsidR="00E92707">
        <w:rPr>
          <w:rFonts w:eastAsia="Times New Roman" w:cs="Times New Roman"/>
          <w:color w:val="000000"/>
          <w:szCs w:val="24"/>
        </w:rPr>
        <w:t xml:space="preserve">; </w:t>
      </w:r>
      <w:r w:rsidR="00E92707" w:rsidRPr="00515AA5">
        <w:rPr>
          <w:rFonts w:eastAsia="Times New Roman" w:cs="Times New Roman"/>
          <w:color w:val="000000"/>
          <w:szCs w:val="24"/>
        </w:rPr>
        <w:fldChar w:fldCharType="begin" w:fldLock="1"/>
      </w:r>
      <w:r w:rsidR="00E92707">
        <w:rPr>
          <w:rFonts w:eastAsia="Times New Roman" w:cs="Times New Roman"/>
          <w:color w:val="000000"/>
          <w:szCs w:val="24"/>
        </w:rPr>
        <w:instrText>ADDIN CSL_CITATION {"citationItems":[{"id":"ITEM-1","itemData":{"DOI":"10.1016/j.jairtraman.2014.09.002","ISSN":"09696997","abstract":"The aim of this paper is to calculate the effects of air travel demand determinants in Middle Income Countries (MICs). Through static and dynamic panel data models from 32 countries during the period from 2002 to 2008, we found that the income elasticity is the most important determinant and that it is slightly higher than one. Income growth multiplied by income elasticity accounts for 75 percent of total passenger growth. Public policies such as an open skies agreements with the European Union have a positive effect on passenger growth, whereas structural changes, such as Low Cost Carrier (LCC) growth, have a marginal effect.","author":[{"dropping-particle":"","family":"Valdes","given":"Victor","non-dropping-particle":"","parse-names":false,"suffix":""}],"container-title":"Journal of Air Transport Management","id":"ITEM-1","issued":{"date-parts":[["2015"]]},"page":"75-84","publisher":"Elsevier Ltd","title":"Determinants of air travel demand in Middle Income Countries","type":"article-journal","volume":"42"},"uris":["http://www.mendeley.com/documents/?uuid=380b969d-9ab3-4a82-bc29-a72e2d530169"]}],"mendeley":{"formattedCitation":"(Valdes 2015)","manualFormatting":"Valdes 2015","plainTextFormattedCitation":"(Valdes 2015)","previouslyFormattedCitation":"(Valdes 2015)"},"properties":{"noteIndex":0},"schema":"https://github.com/citation-style-language/schema/raw/master/csl-citation.json"}</w:instrText>
      </w:r>
      <w:r w:rsidR="00E92707" w:rsidRPr="00515AA5">
        <w:rPr>
          <w:rFonts w:eastAsia="Times New Roman" w:cs="Times New Roman"/>
          <w:color w:val="000000"/>
          <w:szCs w:val="24"/>
        </w:rPr>
        <w:fldChar w:fldCharType="separate"/>
      </w:r>
      <w:r w:rsidR="00E92707" w:rsidRPr="00515AA5">
        <w:rPr>
          <w:rFonts w:eastAsia="Times New Roman" w:cs="Times New Roman"/>
          <w:noProof/>
          <w:color w:val="000000"/>
          <w:szCs w:val="24"/>
        </w:rPr>
        <w:t>Valdes 2015</w:t>
      </w:r>
      <w:r w:rsidR="00E92707" w:rsidRPr="00515AA5">
        <w:rPr>
          <w:rFonts w:eastAsia="Times New Roman" w:cs="Times New Roman"/>
          <w:color w:val="000000"/>
          <w:szCs w:val="24"/>
        </w:rPr>
        <w:fldChar w:fldCharType="end"/>
      </w:r>
      <w:r w:rsidR="006039A8">
        <w:rPr>
          <w:rFonts w:eastAsia="Times New Roman" w:cs="Times New Roman"/>
          <w:color w:val="000000"/>
          <w:szCs w:val="24"/>
        </w:rPr>
        <w:t xml:space="preserve">; </w:t>
      </w:r>
      <w:r w:rsidR="006039A8">
        <w:rPr>
          <w:rFonts w:cs="Times New Roman"/>
          <w:noProof/>
          <w:szCs w:val="24"/>
        </w:rPr>
        <w:fldChar w:fldCharType="begin" w:fldLock="1"/>
      </w:r>
      <w:r w:rsidR="008B2A2E">
        <w:rPr>
          <w:rFonts w:cs="Times New Roman"/>
          <w:noProof/>
          <w:szCs w:val="24"/>
        </w:rPr>
        <w:instrText>ADDIN CSL_CITATION {"citationItems":[{"id":"ITEM-1","itemData":{"DOI":"10.1016/j.jairtraman.2020.101818","ISSN":"09696997","abstract":"Investigating the determinants of air passenger traffic has become commonplace. In contrast with most previous publications, this paper investigates these determinants in an emerging country, Turkey, at the provincial level between 2004 and 2014. We find that GDP/capita, population, distance to alternative airports, tourism, leading cities, and international migrations all support more air traffic. Furthermore, market concentration is associated with less traffic, and the presence of academics with more traffic. Mapping models' residuals suggest catchment areas, surface transport options, domestic migrations and (geo)politics could also matter. Accordingly, it appears the determinants of Turkey's air passenger traffic do not differ from those of developed economies. The results also suggest new airports should be built based on the aforementioned factors.","author":[{"dropping-particle":"","family":"Kağan Albayrak","given":"Muhammed Bilge","non-dropping-particle":"","parse-names":false,"suffix":""},{"dropping-particle":"","family":"Özcan","given":"İsmail Çağrı","non-dropping-particle":"","parse-names":false,"suffix":""},{"dropping-particle":"","family":"Can","given":"Raif","non-dropping-particle":"","parse-names":false,"suffix":""},{"dropping-particle":"","family":"Dobruszkes","given":"Frédéric","non-dropping-particle":"","parse-names":false,"suffix":""}],"container-title":"Journal of Air Transport Management","id":"ITEM-1","issue":"February","issued":{"date-parts":[["2020"]]},"title":"The determinants of air passenger traffic at Turkish airports","type":"article-journal","volume":"86"},"uris":["http://www.mendeley.com/documents/?uuid=f71e8e1e-0aae-436b-ba33-e21668d6b2a6"]}],"mendeley":{"formattedCitation":"(Kağan Albayrak et al. 2020)","manualFormatting":"Kağan Albayrak et al. 2020","plainTextFormattedCitation":"(Kağan Albayrak et al. 2020)","previouslyFormattedCitation":"(Kağan Albayrak et al. 2020)"},"properties":{"noteIndex":0},"schema":"https://github.com/citation-style-language/schema/raw/master/csl-citation.json"}</w:instrText>
      </w:r>
      <w:r w:rsidR="006039A8">
        <w:rPr>
          <w:rFonts w:cs="Times New Roman"/>
          <w:noProof/>
          <w:szCs w:val="24"/>
        </w:rPr>
        <w:fldChar w:fldCharType="separate"/>
      </w:r>
      <w:r w:rsidR="006039A8" w:rsidRPr="006039A8">
        <w:rPr>
          <w:rFonts w:cs="Times New Roman"/>
          <w:noProof/>
          <w:szCs w:val="24"/>
        </w:rPr>
        <w:t>Kağan Albayrak et al. 2020</w:t>
      </w:r>
      <w:r w:rsidR="006039A8">
        <w:rPr>
          <w:rFonts w:cs="Times New Roman"/>
          <w:noProof/>
          <w:szCs w:val="24"/>
        </w:rPr>
        <w:fldChar w:fldCharType="end"/>
      </w:r>
      <w:r w:rsidR="008B2A2E">
        <w:rPr>
          <w:rFonts w:cs="Times New Roman"/>
          <w:noProof/>
          <w:szCs w:val="24"/>
        </w:rPr>
        <w:t xml:space="preserve">; </w:t>
      </w:r>
      <w:r w:rsidR="008B2A2E">
        <w:rPr>
          <w:rFonts w:cs="Times New Roman"/>
          <w:noProof/>
          <w:szCs w:val="24"/>
        </w:rPr>
        <w:fldChar w:fldCharType="begin" w:fldLock="1"/>
      </w:r>
      <w:r w:rsidR="000C226F">
        <w:rPr>
          <w:rFonts w:cs="Times New Roman"/>
          <w:noProof/>
          <w:szCs w:val="24"/>
        </w:rPr>
        <w:instrText>ADDIN CSL_CITATION {"citationItems":[{"id":"ITEM-1","itemData":{"DOI":"10.1016/j.tra.2022.03.014","ISSN":"09658564","abstract":"In this study, we examine the influence of Coronavirus disease 2019 (COVID-19) on airline demand at the disaggregate resolution of airport. The primary focus of our proposed research effort is to develop a framework that provides a blueprint for airline demand recovery as COVID-19 cases evolve over time. Airline monthly demand data is sourced from Bureau of Transportation Statistics for 380 airports for 24 months from January 2019 through December 2020. The demand data is augmented with a host of independent variables including COVID-19 related factors, demographic characteristics and built environment characteristics at the county level, airport specific factors, spatial factors, temporal factors, and adjoining county attributes. The effect of COVID-19 related factors is identified by considering global and local COVID-19 transmission, temporal indicators of pandemic start and progress, and interactions of airline demand predictors with global and local COVID-19 indicators. Finally, we present a blueprint for airline demand recovery where we consider three hypothetical scenarios of COVID-19 transmission rates – expected, pessimistic and optimistic. The results at the airport level from these scenarios are aggregated at the state or regional level by adding the demand from all airports in the corresponding state or region. These trends are presented by State and Region to illustrate potential differences across various scenarios. The results highlight a potentially slow path to airline demand recovery until COVID-19 cases subside.","author":[{"dropping-particle":"","family":"Dey Tirtha","given":"Sudipta","non-dropping-particle":"","parse-names":false,"suffix":""},{"dropping-particle":"","family":"Bhowmik","given":"Tanmoy","non-dropping-particle":"","parse-names":false,"suffix":""},{"dropping-particle":"","family":"Eluru","given":"Naveen","non-dropping-particle":"","parse-names":false,"suffix":""}],"container-title":"Transportation Research Part A: Policy and Practice","id":"ITEM-1","issue":"March","issued":{"date-parts":[["2022"]]},"page":"169-181","publisher":"Elsevier Ltd","title":"An airport level framework for examining the impact of COVID-19 on airline demand","type":"article-journal","volume":"159"},"uris":["http://www.mendeley.com/documents/?uuid=f1c264ea-4873-47b6-b94f-819a1b38cfbb"]}],"mendeley":{"formattedCitation":"(Dey Tirtha et al. 2022)","manualFormatting":"Tirtha et al. 2022","plainTextFormattedCitation":"(Dey Tirtha et al. 2022)","previouslyFormattedCitation":"(Dey Tirtha et al. 2022)"},"properties":{"noteIndex":0},"schema":"https://github.com/citation-style-language/schema/raw/master/csl-citation.json"}</w:instrText>
      </w:r>
      <w:r w:rsidR="008B2A2E">
        <w:rPr>
          <w:rFonts w:cs="Times New Roman"/>
          <w:noProof/>
          <w:szCs w:val="24"/>
        </w:rPr>
        <w:fldChar w:fldCharType="separate"/>
      </w:r>
      <w:r w:rsidR="008B2A2E" w:rsidRPr="008B2A2E">
        <w:rPr>
          <w:rFonts w:cs="Times New Roman"/>
          <w:noProof/>
          <w:szCs w:val="24"/>
        </w:rPr>
        <w:t>Tirtha et al. 2022</w:t>
      </w:r>
      <w:r w:rsidR="008B2A2E">
        <w:rPr>
          <w:rFonts w:cs="Times New Roman"/>
          <w:noProof/>
          <w:szCs w:val="24"/>
        </w:rPr>
        <w:fldChar w:fldCharType="end"/>
      </w:r>
      <w:r w:rsidR="00E92707">
        <w:t xml:space="preserve">), </w:t>
      </w:r>
      <w:r w:rsidR="00E92707" w:rsidRPr="00515AA5">
        <w:rPr>
          <w:rFonts w:eastAsia="Times New Roman" w:cs="Times New Roman"/>
          <w:color w:val="000000"/>
          <w:szCs w:val="24"/>
        </w:rPr>
        <w:t>autoregressive integrated moving average</w:t>
      </w:r>
      <w:r w:rsidR="00E92707">
        <w:t xml:space="preserve"> (</w:t>
      </w:r>
      <w:r w:rsidR="00E92707" w:rsidRPr="00515AA5">
        <w:rPr>
          <w:rFonts w:cs="Times New Roman"/>
          <w:noProof/>
          <w:szCs w:val="24"/>
        </w:rPr>
        <w:fldChar w:fldCharType="begin" w:fldLock="1"/>
      </w:r>
      <w:r w:rsidR="00E92707">
        <w:rPr>
          <w:rFonts w:cs="Times New Roman"/>
          <w:noProof/>
          <w:szCs w:val="24"/>
        </w:rPr>
        <w:instrText>ADDIN CSL_CITATION {"citationItems":[{"id":"ITEM-1","itemData":{"DOI":"10.1016/j.tourman.2013.10.008","ISSN":"02615177","abstract":"Hong Kong International Airport (HKIA) is one of the main gateways to Mainland China and the major aviation hub in Asia. An accurate airport traffic demand forecast allows for short and long-term planning and decision making regarding airport facilities and flight networks. This paper employs the Box-Jenkins Seasonal ARIMA (SARIMA) model and the ARIMAX model to forecast airport passenger traffic for Hong Kong, and projecting its future growth trend to 2015. Both models predict a steady growth in future airport passenger traffic at Hong Kong. In addition, scenario analysis suggests that Hong Kong airport's future passenger traffic will continue to grow in different magnitudes. © 2013 Elsevier Ltd.","author":[{"dropping-particle":"","family":"Tsui","given":"Wai Hong Kan","non-dropping-particle":"","parse-names":false,"suffix":""},{"dropping-particle":"","family":"Ozer Balli","given":"Hatice","non-dropping-particle":"","parse-names":false,"suffix":""},{"dropping-particle":"","family":"Gilbey","given":"Andrew","non-dropping-particle":"","parse-names":false,"suffix":""},{"dropping-particle":"","family":"Gow","given":"Hamish","non-dropping-particle":"","parse-names":false,"suffix":""}],"container-title":"Tourism Management","id":"ITEM-1","issue":"2014","issued":{"date-parts":[["2014"]]},"page":"62-76","publisher":"Elsevier Ltd","title":"Forecasting of Hong Kong airport's passenger throughput","type":"article-journal","volume":"42"},"uris":["http://www.mendeley.com/documents/?uuid=0708f3d4-dbb9-496f-b7f5-42c96a98cf1b"]}],"mendeley":{"formattedCitation":"(Tsui et al. 2014)","manualFormatting":"Tsui et al. 2014","plainTextFormattedCitation":"(Tsui et al. 2014)","previouslyFormattedCitation":"(Tsui et al. 2014)"},"properties":{"noteIndex":0},"schema":"https://github.com/citation-style-language/schema/raw/master/csl-citation.json"}</w:instrText>
      </w:r>
      <w:r w:rsidR="00E92707" w:rsidRPr="00515AA5">
        <w:rPr>
          <w:rFonts w:cs="Times New Roman"/>
          <w:noProof/>
          <w:szCs w:val="24"/>
        </w:rPr>
        <w:fldChar w:fldCharType="separate"/>
      </w:r>
      <w:r w:rsidR="00E92707" w:rsidRPr="00515AA5">
        <w:rPr>
          <w:rFonts w:cs="Times New Roman"/>
          <w:noProof/>
          <w:szCs w:val="24"/>
        </w:rPr>
        <w:t>Tsui et al. 2014</w:t>
      </w:r>
      <w:r w:rsidR="00E92707" w:rsidRPr="00515AA5">
        <w:rPr>
          <w:rFonts w:cs="Times New Roman"/>
          <w:noProof/>
          <w:szCs w:val="24"/>
        </w:rPr>
        <w:fldChar w:fldCharType="end"/>
      </w:r>
      <w:r w:rsidR="00E92707">
        <w:t>), artificial neural networks (</w:t>
      </w:r>
      <w:r w:rsidR="00E92707">
        <w:rPr>
          <w:rFonts w:cs="Times New Roman"/>
          <w:noProof/>
          <w:szCs w:val="24"/>
        </w:rPr>
        <w:fldChar w:fldCharType="begin" w:fldLock="1"/>
      </w:r>
      <w:r w:rsidR="00E92707">
        <w:rPr>
          <w:rFonts w:cs="Times New Roman"/>
          <w:noProof/>
          <w:szCs w:val="24"/>
        </w:rPr>
        <w:instrText>ADDIN CSL_CITATION {"citationItems":[{"id":"ITEM-1","itemData":{"DOI":"10.1007/s11227-018-2452-0","ISSN":"15730484","abstract":"During the past few decades, many researchers have studied the issue of air travel demand in different countries. On the other hand, the development of airports requires considerable space in the vicinity of cities which needs planning and huge investment. However, development of air travel through different airports will be affected by various factors such as population growth and economic development. The purpose of this study is to predict air travel demand in Iran. Data were provided by the Civil Aviation Organization of Islamic Republic of Iran from 2011 to 2015. Collected information includes airports of the country and destination cities all across the country. For this purpose, the artificial neural network (ANN) is used to predict the air travel demand by considering income elasticity and population size in each zone. Evolutionary meta-heuristic algorithms have been implemented in order to improve the performance of ANN. Bat and Firefly algorithms are new meta-heuristic algorithms which have been examined in this study. The results show that the use of these algorithms increases adaptation rate of neural network (NN) prediction with real data. The coefficient of determination increases from 0.2 up to about 0.9 while using the meta-heuristics NN. This represents the high rate of efficiency using this new method.","author":[{"dropping-particle":"","family":"Mostafaeipour","given":"Ali","non-dropping-particle":"","parse-names":false,"suffix":""},{"dropping-particle":"","family":"Goli","given":"Alireza","non-dropping-particle":"","parse-names":false,"suffix":""},{"dropping-particle":"","family":"Qolipour","given":"Mojtaba","non-dropping-particle":"","parse-names":false,"suffix":""}],"container-title":"Journal of Supercomputing","id":"ITEM-1","issue":"10","issued":{"date-parts":[["2018"]]},"page":"5461-5484","publisher":"Springer US","title":"Prediction of air travel demand using a hybrid artificial neural network (ANN) with Bat and Firefly algorithms: a case study","type":"article-journal","volume":"74"},"uris":["http://www.mendeley.com/documents/?uuid=fc9ac4fc-8cfd-44c3-8e91-b419cd828647"]}],"mendeley":{"formattedCitation":"(Mostafaeipour et al. 2018)","manualFormatting":"Mostafaeipour et al. 2018","plainTextFormattedCitation":"(Mostafaeipour et al. 2018)","previouslyFormattedCitation":"(Mostafaeipour et al. 2018)"},"properties":{"noteIndex":0},"schema":"https://github.com/citation-style-language/schema/raw/master/csl-citation.json"}</w:instrText>
      </w:r>
      <w:r w:rsidR="00E92707">
        <w:rPr>
          <w:rFonts w:cs="Times New Roman"/>
          <w:noProof/>
          <w:szCs w:val="24"/>
        </w:rPr>
        <w:fldChar w:fldCharType="separate"/>
      </w:r>
      <w:r w:rsidR="00E92707" w:rsidRPr="00E87717">
        <w:rPr>
          <w:rFonts w:cs="Times New Roman"/>
          <w:noProof/>
          <w:szCs w:val="24"/>
        </w:rPr>
        <w:t>Mostafaeipour</w:t>
      </w:r>
      <w:r w:rsidR="00E92707">
        <w:rPr>
          <w:rFonts w:cs="Times New Roman"/>
          <w:noProof/>
          <w:szCs w:val="24"/>
        </w:rPr>
        <w:t xml:space="preserve"> et al.</w:t>
      </w:r>
      <w:r w:rsidR="00E92707" w:rsidRPr="00E87717">
        <w:rPr>
          <w:rFonts w:cs="Times New Roman"/>
          <w:noProof/>
          <w:szCs w:val="24"/>
        </w:rPr>
        <w:t xml:space="preserve"> 2018</w:t>
      </w:r>
      <w:r w:rsidR="00E92707">
        <w:rPr>
          <w:rFonts w:cs="Times New Roman"/>
          <w:noProof/>
          <w:szCs w:val="24"/>
        </w:rPr>
        <w:fldChar w:fldCharType="end"/>
      </w:r>
      <w:r w:rsidR="00E92707">
        <w:t xml:space="preserve">), </w:t>
      </w:r>
      <w:r w:rsidR="00E92707" w:rsidRPr="00515AA5">
        <w:rPr>
          <w:rFonts w:cs="Times New Roman"/>
          <w:szCs w:val="24"/>
        </w:rPr>
        <w:t>fuzzy models</w:t>
      </w:r>
      <w:r w:rsidR="00E92707">
        <w:t xml:space="preserve"> (</w:t>
      </w:r>
      <w:r w:rsidR="00E92707" w:rsidRPr="00515AA5">
        <w:rPr>
          <w:rFonts w:cs="Times New Roman"/>
          <w:noProof/>
          <w:szCs w:val="24"/>
        </w:rPr>
        <w:fldChar w:fldCharType="begin" w:fldLock="1"/>
      </w:r>
      <w:r w:rsidR="00E92707">
        <w:rPr>
          <w:rFonts w:cs="Times New Roman"/>
          <w:noProof/>
          <w:szCs w:val="24"/>
        </w:rPr>
        <w:instrText>ADDIN CSL_CITATION {"citationItems":[{"id":"ITEM-1","itemData":{"DOI":"10.1007/978-3-319-00930-8_25","ISBN":"9783319009292","ISSN":"21945357","abstract":"This chapter describes the fuzzy logic approach to modelling of trip generation and trip distribution on country and country-pair levels. Different economic (GDP per capita of origin country, imports by destination countries) and social factors, as well as other ones (number of emigrants in destination country and destination country attractiveness) are considered. The case study of Serbia, illustrating possibilities of models, is given. Results of this research provide empirical evidence relating to successful use of fuzzy logic as a non-traditional technique.","author":[{"dropping-particle":"","family":"Kalić","given":"Milica","non-dropping-particle":"","parse-names":false,"suffix":""},{"dropping-particle":"","family":"Kuljanin","given":"Jovana","non-dropping-particle":"","parse-names":false,"suffix":""},{"dropping-particle":"","family":"Dožić","given":"Slavica","non-dropping-particle":"","parse-names":false,"suffix":""}],"container-title":"Advances in Intelligent Systems and Computing","id":"ITEM-1","issued":{"date-parts":[["2014"]]},"page":"279-289","title":"Air travel demand fuzzy modelling: Trip generation and trip distribution","type":"article-journal","volume":"223"},"uris":["http://www.mendeley.com/documents/?uuid=c5b74d33-0eaa-462d-95c4-88d2d6607946"]}],"mendeley":{"formattedCitation":"(Kalić et al. 2014)","manualFormatting":"Kalić et al. 2014","plainTextFormattedCitation":"(Kalić et al. 2014)","previouslyFormattedCitation":"(Kalić et al. 2014)"},"properties":{"noteIndex":0},"schema":"https://github.com/citation-style-language/schema/raw/master/csl-citation.json"}</w:instrText>
      </w:r>
      <w:r w:rsidR="00E92707" w:rsidRPr="00515AA5">
        <w:rPr>
          <w:rFonts w:cs="Times New Roman"/>
          <w:noProof/>
          <w:szCs w:val="24"/>
        </w:rPr>
        <w:fldChar w:fldCharType="separate"/>
      </w:r>
      <w:r w:rsidR="00E92707" w:rsidRPr="00515AA5">
        <w:rPr>
          <w:rFonts w:cs="Times New Roman"/>
          <w:noProof/>
          <w:szCs w:val="24"/>
        </w:rPr>
        <w:t>Kalić et al. 2014</w:t>
      </w:r>
      <w:r w:rsidR="00E92707" w:rsidRPr="00515AA5">
        <w:rPr>
          <w:rFonts w:cs="Times New Roman"/>
          <w:noProof/>
          <w:szCs w:val="24"/>
        </w:rPr>
        <w:fldChar w:fldCharType="end"/>
      </w:r>
      <w:r w:rsidR="00E92707">
        <w:t xml:space="preserve">), </w:t>
      </w:r>
      <w:r w:rsidR="00E92707" w:rsidRPr="00515AA5">
        <w:rPr>
          <w:rFonts w:cs="Times New Roman"/>
          <w:szCs w:val="24"/>
        </w:rPr>
        <w:t xml:space="preserve">gravity models </w:t>
      </w:r>
      <w:r w:rsidR="00E92707">
        <w:rPr>
          <w:rFonts w:cs="Times New Roman"/>
          <w:szCs w:val="24"/>
        </w:rPr>
        <w:t>(</w:t>
      </w:r>
      <w:r w:rsidR="00E92707" w:rsidRPr="00515AA5">
        <w:rPr>
          <w:rFonts w:cs="Times New Roman"/>
          <w:noProof/>
          <w:szCs w:val="24"/>
        </w:rPr>
        <w:fldChar w:fldCharType="begin" w:fldLock="1"/>
      </w:r>
      <w:r w:rsidR="00E92707">
        <w:rPr>
          <w:rFonts w:cs="Times New Roman"/>
          <w:noProof/>
          <w:szCs w:val="24"/>
        </w:rPr>
        <w:instrText>ADDIN CSL_CITATION {"citationItems":[{"id":"ITEM-1","itemData":{"DOI":"10.1016/j.jairtraman.2018.05.001","ISSN":"09696997","abstract":"The aviation industry in Western Australia (WA) plays a vital role in the economic and social development of the state. However, accurate forecasts for passenger movements are not available to policy makers due to lack of relevant air travel demand information. The objective of this study is to estimate the domestic air passenger seat numbers between airport-pairs based on online flight information in regional WA based on a gravity model using Poisson pseudo-maximum likelihood estimation (PPML). Particularly, we aim to investigate the impact of distance, airfare, catchment areas, population, tourism and mining sector on forecasting air passenger seat numbers in order to inform and guide policy making. This research collected appropriate data and produced valid models that represent air passenger seat numbers offered on regular public transport (RPT) air services in regional WA. The models consider both geographic and service-related variables, such as the catchment area of airports, population and number of tourists in the airport's catchment area. Two kinds of airport catchment areas are generated in this study, based on Thiessen polygon and two and half hours’ driving distance. The Thiessen polygon catchment areas cover the whole WA regions, while the 2.5 h's driving catchment area covers only 32 percent of the WA region. The size of the catchment area can affect the magnitude of factors, and therefore influence the modelling results. When deciding the catchment area for the study, it is important to take the spatial distribution of factors into considerations. For both Thiessen polygon and two and half hours’ driving distance catchment area, the model results illustrate that distance between airports, airfare of the flight, population of the origin airport's catchment area and the number of operating mine sites of the destination airport's catchment area are significantly correlated with domestic air travel seat capacity provided. Given the guidance from policy documents and policy makers, the results will improve the understanding of the key parameters of regional passenger aviation services and help to guide policy makers considering regional passenger aviation issues. The outcome of this study would be useful for and guide policy development.","author":[{"dropping-particle":"","family":"Zhou","given":"Heng","non-dropping-particle":"","parse-names":false,"suffix":""},{"dropping-particle":"","family":"Xia","given":"Jianhong (Cecilia)","non-dropping-particle":"","parse-names":false,"suffix":""},{"dropping-particle":"","family":"Luo","given":"Qingzhou","non-dropping-particle":"","parse-names":false,"suffix":""},{"dropping-particle":"","family":"Nikolova","given":"Gabi","non-dropping-particle":"","parse-names":false,"suffix":""},{"dropping-particle":"","family":"Sun","given":"Jie","non-dropping-particle":"","parse-names":false,"suffix":""},{"dropping-particle":"","family":"Hughes","given":"Brett","non-dropping-particle":"","parse-names":false,"suffix":""},{"dropping-particle":"","family":"Kelobonye","given":"Keone","non-dropping-particle":"","parse-names":false,"suffix":""},{"dropping-particle":"","family":"Wang","given":"Hui","non-dropping-particle":"","parse-names":false,"suffix":""},{"dropping-particle":"","family":"Falkmer","given":"Torbjorn","non-dropping-particle":"","parse-names":false,"suffix":""}],"container-title":"Journal of Air Transport Management","id":"ITEM-1","issue":"May","issued":{"date-parts":[["2018"]]},"page":"91-103","publisher":"Elsevier Ltd","title":"Investigating the impact of catchment areas of airports on estimating air travel demand: A case study of regional Western Australia","type":"article-journal","volume":"70"},"uris":["http://www.mendeley.com/documents/?uuid=6cdd5006-a5ff-43fb-804f-a44e120fd10a"]}],"mendeley":{"formattedCitation":"(Zhou et al. 2018)","manualFormatting":"Zhou et al. 2018","plainTextFormattedCitation":"(Zhou et al. 2018)","previouslyFormattedCitation":"(Zhou et al. 2018)"},"properties":{"noteIndex":0},"schema":"https://github.com/citation-style-language/schema/raw/master/csl-citation.json"}</w:instrText>
      </w:r>
      <w:r w:rsidR="00E92707" w:rsidRPr="00515AA5">
        <w:rPr>
          <w:rFonts w:cs="Times New Roman"/>
          <w:noProof/>
          <w:szCs w:val="24"/>
        </w:rPr>
        <w:fldChar w:fldCharType="separate"/>
      </w:r>
      <w:r w:rsidR="00E92707" w:rsidRPr="00515AA5">
        <w:rPr>
          <w:rFonts w:cs="Times New Roman"/>
          <w:noProof/>
          <w:szCs w:val="24"/>
        </w:rPr>
        <w:t>Zhou et al. 2018</w:t>
      </w:r>
      <w:r w:rsidR="00E92707" w:rsidRPr="00515AA5">
        <w:rPr>
          <w:rFonts w:cs="Times New Roman"/>
          <w:noProof/>
          <w:szCs w:val="24"/>
        </w:rPr>
        <w:fldChar w:fldCharType="end"/>
      </w:r>
      <w:r w:rsidR="00E92707">
        <w:rPr>
          <w:rFonts w:cs="Times New Roman"/>
          <w:szCs w:val="24"/>
        </w:rPr>
        <w:t xml:space="preserve">) and </w:t>
      </w:r>
      <w:r w:rsidR="00E92707" w:rsidRPr="00515AA5">
        <w:rPr>
          <w:rFonts w:cs="Times New Roman"/>
          <w:szCs w:val="24"/>
        </w:rPr>
        <w:t>optimization</w:t>
      </w:r>
      <w:r w:rsidR="00E92707">
        <w:t xml:space="preserve"> techniques (</w:t>
      </w:r>
      <w:r w:rsidR="00E92707" w:rsidRPr="00515AA5">
        <w:rPr>
          <w:rFonts w:cs="Times New Roman"/>
          <w:szCs w:val="24"/>
        </w:rPr>
        <w:fldChar w:fldCharType="begin" w:fldLock="1"/>
      </w:r>
      <w:r w:rsidR="00E92707">
        <w:rPr>
          <w:rFonts w:cs="Times New Roman"/>
          <w:szCs w:val="24"/>
        </w:rPr>
        <w:instrText>ADDIN CSL_CITATION {"citationItems":[{"id":"ITEM-1","itemData":{"DOI":"10.1016/j.tre.2019.09.018","ISSN":"13665545","abstract":"The historical air travel demand plays an important role in the analysis of, for example, major changes in airport use, airport and airline marketing, and airport planning. We provide a bi-level optimization model as a relatively quick and less expensive alternative to survey method to estimate the originating air travel demand and its geographic distribution at an airport. The lower-level model estimates the geographic distribution of originating air travel demand and model coefficients. The upper-level model estimates the airport access distance threshold which is used to model traveler's airport choice behaviors in the lower-level model. We adopt an Evolutionary Algorithm (EA) to solve the bi-level optimization model. A General Reduced Gradient solution algorithm is used within the EA to solve the lower-level model. We present a real-world case study in which we apply the model to estimate the originating air travel demand and its geographic distribution on the contiguous United States. The model estimates are generally close to the statistics from the American Travel Survey. The comparisons of the model estimates with the statistics from the Washington-Baltimore regional air passenger survey show mixed results. Possible reasons for the estimation errors are identified.","author":[{"dropping-particle":"","family":"Li","given":"Tao","non-dropping-particle":"","parse-names":false,"suffix":""},{"dropping-particle":"","family":"Wan","given":"Yan","non-dropping-particle":"","parse-names":false,"suffix":""}],"container-title":"Transportation Research Part E: Logistics and Transportation Review","id":"ITEM-1","issue":"October","issued":{"date-parts":[["2019"]]},"page":"267-291","publisher":"Elsevier","title":"Estimating the geographic distribution of originating air travel demand using a bi-level optimization model","type":"article-journal","volume":"131"},"uris":["http://www.mendeley.com/documents/?uuid=ce757b53-ab61-4db4-b989-a2378ba0008a"]},{"id":"ITEM-2","itemData":{"DOI":"10.1016/j.jairtraman.2018.05.001","ISSN":"09696997","abstract":"The aviation industry in Western Australia (WA) plays a vital role in the economic and social development of the state. However, accurate forecasts for passenger movements are not available to policy makers due to lack of relevant air travel demand information. The objective of this study is to estimate the domestic air passenger seat numbers between airport-pairs based on online flight information in regional WA based on a gravity model using Poisson pseudo-maximum likelihood estimation (PPML). Particularly, we aim to investigate the impact of distance, airfare, catchment areas, population, tourism and mining sector on forecasting air passenger seat numbers in order to inform and guide policy making. This research collected appropriate data and produced valid models that represent air passenger seat numbers offered on regular public transport (RPT) air services in regional WA. The models consider both geographic and service-related variables, such as the catchment area of airports, population and number of tourists in the airport's catchment area. Two kinds of airport catchment areas are generated in this study, based on Thiessen polygon and two and half hours’ driving distance. The Thiessen polygon catchment areas cover the whole WA regions, while the 2.5 h's driving catchment area covers only 32 percent of the WA region. The size of the catchment area can affect the magnitude of factors, and therefore influence the modelling results. When deciding the catchment area for the study, it is important to take the spatial distribution of factors into considerations. For both Thiessen polygon and two and half hours’ driving distance catchment area, the model results illustrate that distance between airports, airfare of the flight, population of the origin airport's catchment area and the number of operating mine sites of the destination airport's catchment area are significantly correlated with domestic air travel seat capacity provided. Given the guidance from policy documents and policy makers, the results will improve the understanding of the key parameters of regional passenger aviation services and help to guide policy makers considering regional passenger aviation issues. The outcome of this study would be useful for and guide policy development.","author":[{"dropping-particle":"","family":"Zhou","given":"Heng","non-dropping-particle":"","parse-names":false,"suffix":""},{"dropping-particle":"","family":"Xia","given":"Jianhong (Cecilia)","non-dropping-particle":"","parse-names":false,"suffix":""},{"dropping-particle":"","family":"Luo","given":"Qingzhou","non-dropping-particle":"","parse-names":false,"suffix":""},{"dropping-particle":"","family":"Nikolova","given":"Gabi","non-dropping-particle":"","parse-names":false,"suffix":""},{"dropping-particle":"","family":"Sun","given":"Jie","non-dropping-particle":"","parse-names":false,"suffix":""},{"dropping-particle":"","family":"Hughes","given":"Brett","non-dropping-particle":"","parse-names":false,"suffix":""},{"dropping-particle":"","family":"Kelobonye","given":"Keone","non-dropping-particle":"","parse-names":false,"suffix":""},{"dropping-particle":"","family":"Wang","given":"Hui","non-dropping-particle":"","parse-names":false,"suffix":""},{"dropping-particle":"","family":"Falkmer","given":"Torbjorn","non-dropping-particle":"","parse-names":false,"suffix":""}],"container-title":"Journal of Air Transport Management","id":"ITEM-2","issue":"May","issued":{"date-parts":[["2018"]]},"page":"91-103","publisher":"Elsevier Ltd","title":"Investigating the impact of catchment areas of airports on estimating air travel demand: A case study of regional Western Australia","type":"article-journal","volume":"70"},"uris":["http://www.mendeley.com/documents/?uuid=6cdd5006-a5ff-43fb-804f-a44e120fd10a"]}],"mendeley":{"formattedCitation":"(Zhou et al. 2018; Li and Wan 2019)","manualFormatting":"Li and Wan 2019","plainTextFormattedCitation":"(Zhou et al. 2018; Li and Wan 2019)","previouslyFormattedCitation":"(Zhou et al. 2018; Li and Wan 2019)"},"properties":{"noteIndex":0},"schema":"https://github.com/citation-style-language/schema/raw/master/csl-citation.json"}</w:instrText>
      </w:r>
      <w:r w:rsidR="00E92707" w:rsidRPr="00515AA5">
        <w:rPr>
          <w:rFonts w:cs="Times New Roman"/>
          <w:szCs w:val="24"/>
        </w:rPr>
        <w:fldChar w:fldCharType="separate"/>
      </w:r>
      <w:r w:rsidR="00E92707" w:rsidRPr="00515AA5">
        <w:rPr>
          <w:rFonts w:cs="Times New Roman"/>
          <w:noProof/>
          <w:szCs w:val="24"/>
        </w:rPr>
        <w:t xml:space="preserve">Li </w:t>
      </w:r>
      <w:r w:rsidR="00E92707">
        <w:rPr>
          <w:rFonts w:cs="Times New Roman"/>
          <w:noProof/>
          <w:szCs w:val="24"/>
        </w:rPr>
        <w:t>and</w:t>
      </w:r>
      <w:r w:rsidR="00E92707" w:rsidRPr="00515AA5">
        <w:rPr>
          <w:rFonts w:cs="Times New Roman"/>
          <w:noProof/>
          <w:szCs w:val="24"/>
        </w:rPr>
        <w:t xml:space="preserve"> Wan 2019</w:t>
      </w:r>
      <w:r w:rsidR="00E92707" w:rsidRPr="00515AA5">
        <w:rPr>
          <w:rFonts w:cs="Times New Roman"/>
          <w:szCs w:val="24"/>
        </w:rPr>
        <w:fldChar w:fldCharType="end"/>
      </w:r>
      <w:r w:rsidR="00E92707">
        <w:t xml:space="preserve">) are commonly employed to model air passenger demand. </w:t>
      </w:r>
      <w:r w:rsidR="00E92707">
        <w:fldChar w:fldCharType="begin" w:fldLock="1"/>
      </w:r>
      <w:r w:rsidR="00E92707">
        <w:instrText>ADDIN CSL_CITATION {"citationItems":[{"id":"ITEM-1","itemData":{"DOI":"10.1016/j.jairtraman.2022.102320","ISSN":"09696997","abstract":"The current study proposes a novel modeling approach for modeling airline demand. Specifically, we develop a joint panel generalized ordered probit model system with observed thresholds for modeling air passenger arrivals and departures while accommodating for the influence of observed and unobserved effects on airline demand across multiple time periods. The proposed model is estimated using airline data compiled by Bureau of Transportation Statistics for 510 airports in the US at a quarterly level for five annual time points. A host of independent variables including demographic characteristics, built environment characteristics, spatial and temporal factors are considered. From the model estimation, the important factors affecting airline demand include metropolitan statistical area (MSA) population, median income, education attainment, airport location and temporal factors. A validation exercise is also performed using a holdout sample to highlight the superior performance of the proposed model. Finally, to illustrate how the proposed demand model allows agencies to understand changes to airline demand with changes to independent variables, a policy analysis is conducted.","author":[{"dropping-particle":"","family":"Tirtha","given":"Sudipta Dey","non-dropping-particle":"","parse-names":false,"suffix":""},{"dropping-particle":"","family":"Bhowmik","given":"Tanmoy","non-dropping-particle":"","parse-names":false,"suffix":""},{"dropping-particle":"","family":"Eluru","given":"Naveen","non-dropping-particle":"","parse-names":false,"suffix":""}],"container-title":"Journal of Air Transport Management","id":"ITEM-1","issue":"September 2022","issued":{"date-parts":[["2023"]]},"page":"102320","publisher":"Elsevier Ltd","title":"Understanding the factors affecting airport level demand (arrivals and departures) using a novel modeling approach","type":"article-journal","volume":"106"},"uris":["http://www.mendeley.com/documents/?uuid=d7eeb39d-8ae9-46db-a4a9-8ee5acda20d3"]}],"mendeley":{"formattedCitation":"(Tirtha et al. 2023)","manualFormatting":"Tirtha et al. (2023)","plainTextFormattedCitation":"(Tirtha et al. 2023)","previouslyFormattedCitation":"(Tirtha et al. 2023)"},"properties":{"noteIndex":0},"schema":"https://github.com/citation-style-language/schema/raw/master/csl-citation.json"}</w:instrText>
      </w:r>
      <w:r w:rsidR="00E92707">
        <w:fldChar w:fldCharType="separate"/>
      </w:r>
      <w:r w:rsidR="00E92707" w:rsidRPr="008D72DE">
        <w:rPr>
          <w:noProof/>
        </w:rPr>
        <w:t xml:space="preserve">Tirtha et al. </w:t>
      </w:r>
      <w:r w:rsidR="00E92707">
        <w:rPr>
          <w:noProof/>
        </w:rPr>
        <w:t>(</w:t>
      </w:r>
      <w:r w:rsidR="00E92707" w:rsidRPr="008D72DE">
        <w:rPr>
          <w:noProof/>
        </w:rPr>
        <w:t>2023)</w:t>
      </w:r>
      <w:r w:rsidR="00E92707">
        <w:fldChar w:fldCharType="end"/>
      </w:r>
      <w:r w:rsidR="00E92707">
        <w:t xml:space="preserve"> developed a </w:t>
      </w:r>
      <w:r w:rsidR="008B2A2E">
        <w:t xml:space="preserve">joint panel </w:t>
      </w:r>
      <w:r w:rsidR="00E92707">
        <w:t xml:space="preserve">generalized ordered probit model of domestic airline demand at US airports and offered a formulation to predict continuous demand using the developed model. Independent variables considered in airline demand analysis include </w:t>
      </w:r>
      <w:r w:rsidR="00DE6543">
        <w:t>socio-</w:t>
      </w:r>
      <w:r w:rsidR="00E92707" w:rsidRPr="00515AA5">
        <w:rPr>
          <w:rFonts w:cs="Times New Roman"/>
          <w:szCs w:val="24"/>
        </w:rPr>
        <w:t>demographic factors (population, education,</w:t>
      </w:r>
      <w:r w:rsidR="00E92707">
        <w:rPr>
          <w:rFonts w:cs="Times New Roman"/>
          <w:szCs w:val="24"/>
        </w:rPr>
        <w:t xml:space="preserve"> </w:t>
      </w:r>
      <w:r w:rsidR="00E92707" w:rsidRPr="00515AA5">
        <w:rPr>
          <w:rFonts w:cs="Times New Roman"/>
          <w:szCs w:val="24"/>
        </w:rPr>
        <w:t>age distribution</w:t>
      </w:r>
      <w:r w:rsidR="008D18A7">
        <w:rPr>
          <w:rFonts w:cs="Times New Roman"/>
          <w:szCs w:val="24"/>
        </w:rPr>
        <w:t>,</w:t>
      </w:r>
      <w:r w:rsidR="00E92707" w:rsidRPr="00515AA5">
        <w:rPr>
          <w:rFonts w:cs="Times New Roman"/>
          <w:szCs w:val="24"/>
        </w:rPr>
        <w:t xml:space="preserve"> </w:t>
      </w:r>
      <w:r w:rsidR="00E92707">
        <w:rPr>
          <w:rFonts w:cs="Times New Roman"/>
          <w:szCs w:val="24"/>
        </w:rPr>
        <w:t xml:space="preserve">median </w:t>
      </w:r>
      <w:r w:rsidR="00E92707" w:rsidRPr="00515AA5">
        <w:rPr>
          <w:rFonts w:cs="Times New Roman"/>
          <w:szCs w:val="24"/>
        </w:rPr>
        <w:t>income, employment</w:t>
      </w:r>
      <w:r w:rsidR="00E92707">
        <w:rPr>
          <w:rFonts w:cs="Times New Roman"/>
          <w:szCs w:val="24"/>
        </w:rPr>
        <w:t>, and</w:t>
      </w:r>
      <w:r w:rsidR="00E92707" w:rsidRPr="00515AA5">
        <w:rPr>
          <w:rFonts w:cs="Times New Roman"/>
          <w:szCs w:val="24"/>
        </w:rPr>
        <w:t xml:space="preserve"> GDP), built environment</w:t>
      </w:r>
      <w:r w:rsidR="00E92707">
        <w:rPr>
          <w:rFonts w:cs="Times New Roman"/>
          <w:szCs w:val="24"/>
        </w:rPr>
        <w:t xml:space="preserve"> factors</w:t>
      </w:r>
      <w:r w:rsidR="00E92707" w:rsidRPr="00515AA5">
        <w:rPr>
          <w:rFonts w:cs="Times New Roman"/>
          <w:szCs w:val="24"/>
        </w:rPr>
        <w:t xml:space="preserve"> (number of </w:t>
      </w:r>
      <w:r w:rsidR="00E92707">
        <w:rPr>
          <w:rFonts w:cs="Times New Roman"/>
          <w:szCs w:val="24"/>
        </w:rPr>
        <w:t>business</w:t>
      </w:r>
      <w:r w:rsidR="00E92707" w:rsidRPr="00515AA5">
        <w:rPr>
          <w:rFonts w:cs="Times New Roman"/>
          <w:szCs w:val="24"/>
        </w:rPr>
        <w:t xml:space="preserve"> centers</w:t>
      </w:r>
      <w:r w:rsidR="00E92707">
        <w:rPr>
          <w:rFonts w:cs="Times New Roman"/>
          <w:szCs w:val="24"/>
        </w:rPr>
        <w:t xml:space="preserve"> and</w:t>
      </w:r>
      <w:r w:rsidR="00E92707" w:rsidRPr="00515AA5">
        <w:rPr>
          <w:rFonts w:cs="Times New Roman"/>
          <w:szCs w:val="24"/>
        </w:rPr>
        <w:t xml:space="preserve"> touris</w:t>
      </w:r>
      <w:r w:rsidR="00E92707">
        <w:rPr>
          <w:rFonts w:cs="Times New Roman"/>
          <w:szCs w:val="24"/>
        </w:rPr>
        <w:t>m</w:t>
      </w:r>
      <w:r w:rsidR="00E92707" w:rsidRPr="00515AA5">
        <w:rPr>
          <w:rFonts w:cs="Times New Roman"/>
          <w:szCs w:val="24"/>
        </w:rPr>
        <w:t xml:space="preserve">), </w:t>
      </w:r>
      <w:r w:rsidR="002B27EA">
        <w:rPr>
          <w:rFonts w:cs="Times New Roman"/>
          <w:szCs w:val="24"/>
        </w:rPr>
        <w:t xml:space="preserve">airport classification, </w:t>
      </w:r>
      <w:r w:rsidR="00E92707" w:rsidRPr="00515AA5">
        <w:rPr>
          <w:rFonts w:cs="Times New Roman"/>
          <w:szCs w:val="24"/>
        </w:rPr>
        <w:t>level of service factors (average airfare and distance)</w:t>
      </w:r>
      <w:r w:rsidR="00E92707">
        <w:rPr>
          <w:rFonts w:cs="Times New Roman"/>
          <w:szCs w:val="24"/>
        </w:rPr>
        <w:t>, temporal</w:t>
      </w:r>
      <w:r w:rsidR="00E92707" w:rsidRPr="00515AA5">
        <w:rPr>
          <w:rFonts w:cs="Times New Roman"/>
          <w:szCs w:val="24"/>
        </w:rPr>
        <w:t xml:space="preserve"> lag variables</w:t>
      </w:r>
      <w:r w:rsidR="008D18A7">
        <w:rPr>
          <w:rFonts w:cs="Times New Roman"/>
          <w:szCs w:val="24"/>
        </w:rPr>
        <w:t>,</w:t>
      </w:r>
      <w:r w:rsidR="00E92707">
        <w:rPr>
          <w:rFonts w:cs="Times New Roman"/>
          <w:szCs w:val="24"/>
        </w:rPr>
        <w:t xml:space="preserve"> and spillover effects</w:t>
      </w:r>
      <w:r w:rsidR="00947E15">
        <w:rPr>
          <w:rFonts w:cs="Times New Roman"/>
          <w:szCs w:val="24"/>
        </w:rPr>
        <w:t xml:space="preserve"> </w:t>
      </w:r>
      <w:r w:rsidR="00947E15">
        <w:t xml:space="preserve">(see </w:t>
      </w:r>
      <w:r w:rsidR="00947E15">
        <w:fldChar w:fldCharType="begin" w:fldLock="1"/>
      </w:r>
      <w:r w:rsidR="006039A8">
        <w:instrText>ADDIN CSL_CITATION {"citationItems":[{"id":"ITEM-1","itemData":{"DOI":"10.1016/j.jairtraman.2022.102320","ISSN":"09696997","abstract":"The current study proposes a novel modeling approach for modeling airline demand. Specifically, we develop a joint panel generalized ordered probit model system with observed thresholds for modeling air passenger arrivals and departures while accommodating for the influence of observed and unobserved effects on airline demand across multiple time periods. The proposed model is estimated using airline data compiled by Bureau of Transportation Statistics for 510 airports in the US at a quarterly level for five annual time points. A host of independent variables including demographic characteristics, built environment characteristics, spatial and temporal factors are considered. From the model estimation, the important factors affecting airline demand include metropolitan statistical area (MSA) population, median income, education attainment, airport location and temporal factors. A validation exercise is also performed using a holdout sample to highlight the superior performance of the proposed model. Finally, to illustrate how the proposed demand model allows agencies to understand changes to airline demand with changes to independent variables, a policy analysis is conducted.","author":[{"dropping-particle":"","family":"Tirtha","given":"Sudipta Dey","non-dropping-particle":"","parse-names":false,"suffix":""},{"dropping-particle":"","family":"Bhowmik","given":"Tanmoy","non-dropping-particle":"","parse-names":false,"suffix":""},{"dropping-particle":"","family":"Eluru","given":"Naveen","non-dropping-particle":"","parse-names":false,"suffix":""}],"container-title":"Journal of Air Transport Management","id":"ITEM-1","issue":"September 2022","issued":{"date-parts":[["2023"]]},"page":"102320","publisher":"Elsevier Ltd","title":"Understanding the factors affecting airport level demand (arrivals and departures) using a novel modeling approach","type":"article-journal","volume":"106"},"uris":["http://www.mendeley.com/documents/?uuid=d7eeb39d-8ae9-46db-a4a9-8ee5acda20d3"]}],"mendeley":{"formattedCitation":"(Tirtha et al. 2023)","manualFormatting":"Tirtha et al. 2023","plainTextFormattedCitation":"(Tirtha et al. 2023)","previouslyFormattedCitation":"(Tirtha et al. 2023)"},"properties":{"noteIndex":0},"schema":"https://github.com/citation-style-language/schema/raw/master/csl-citation.json"}</w:instrText>
      </w:r>
      <w:r w:rsidR="00947E15">
        <w:fldChar w:fldCharType="separate"/>
      </w:r>
      <w:r w:rsidR="00947E15" w:rsidRPr="00CD3420">
        <w:rPr>
          <w:noProof/>
        </w:rPr>
        <w:t>Tirtha et al. 2023</w:t>
      </w:r>
      <w:r w:rsidR="00947E15">
        <w:fldChar w:fldCharType="end"/>
      </w:r>
      <w:r w:rsidR="00947E15">
        <w:t xml:space="preserve"> for </w:t>
      </w:r>
      <w:r w:rsidR="00DE6543">
        <w:t>more details</w:t>
      </w:r>
      <w:r w:rsidR="00947E15">
        <w:t>)</w:t>
      </w:r>
      <w:r w:rsidR="00E92707" w:rsidRPr="00515AA5">
        <w:rPr>
          <w:rFonts w:cs="Times New Roman"/>
          <w:szCs w:val="24"/>
        </w:rPr>
        <w:t>.</w:t>
      </w:r>
      <w:r w:rsidR="00E92707">
        <w:rPr>
          <w:rFonts w:cs="Times New Roman"/>
          <w:szCs w:val="24"/>
        </w:rPr>
        <w:t xml:space="preserve"> </w:t>
      </w:r>
      <w:r w:rsidR="00E92707">
        <w:t>In this chapter, we apply MGOR framework to model domestic airline demand to illustrate how the framework can be applied in practice.</w:t>
      </w:r>
    </w:p>
    <w:p w14:paraId="1D94D364" w14:textId="3F795B40" w:rsidR="009400DB" w:rsidRDefault="00B21705" w:rsidP="00C52F51">
      <w:pPr>
        <w:ind w:firstLine="720"/>
        <w:jc w:val="both"/>
      </w:pPr>
      <w:r>
        <w:t xml:space="preserve">The airline demand data is sourced from origin </w:t>
      </w:r>
      <w:r w:rsidR="00EA3F8B">
        <w:t xml:space="preserve">and </w:t>
      </w:r>
      <w:r>
        <w:t xml:space="preserve">destination survey dataset </w:t>
      </w:r>
      <w:r w:rsidR="009033DB">
        <w:t xml:space="preserve">for 5 years (2010, 2012, 2014, 2016 and 2018) </w:t>
      </w:r>
      <w:r>
        <w:t>hosted by Bureau of Transportation Statistics (BTS)</w:t>
      </w:r>
      <w:r w:rsidR="00514828">
        <w:t xml:space="preserve"> for 300 airports</w:t>
      </w:r>
      <w:r>
        <w:t xml:space="preserve">. The dataset provides </w:t>
      </w:r>
      <w:r w:rsidR="0066217E">
        <w:t xml:space="preserve">detailed </w:t>
      </w:r>
      <w:r>
        <w:t>information o</w:t>
      </w:r>
      <w:r w:rsidR="00514828">
        <w:t>n</w:t>
      </w:r>
      <w:r>
        <w:t xml:space="preserve"> 10% tickets of domestic flight</w:t>
      </w:r>
      <w:r w:rsidR="0066217E">
        <w:t>s</w:t>
      </w:r>
      <w:r w:rsidR="00A135C1">
        <w:t xml:space="preserve"> operated in the US</w:t>
      </w:r>
      <w:r>
        <w:t xml:space="preserve">. </w:t>
      </w:r>
      <w:r w:rsidR="009033DB">
        <w:t>Airport level q</w:t>
      </w:r>
      <w:r>
        <w:t>uarterly passenger departures</w:t>
      </w:r>
      <w:r w:rsidR="009033DB">
        <w:t xml:space="preserve"> are processed from the dataset by aggregating the departing passengers for year, quarter, and airport ID</w:t>
      </w:r>
      <w:r w:rsidR="00F16370">
        <w:rPr>
          <w:rStyle w:val="FootnoteReference"/>
        </w:rPr>
        <w:footnoteReference w:id="2"/>
      </w:r>
      <w:r w:rsidR="009033DB">
        <w:t xml:space="preserve">. The resulting demand dataset consists of 20 </w:t>
      </w:r>
      <w:r w:rsidR="00CF3C5E">
        <w:t xml:space="preserve">demand </w:t>
      </w:r>
      <w:r w:rsidR="009033DB">
        <w:t xml:space="preserve">measures for each airport (5 years*4 quarters). </w:t>
      </w:r>
      <w:r w:rsidR="00070D56">
        <w:t>Therefore, the estimation sample consists of 6,000 demand records.</w:t>
      </w:r>
      <w:r w:rsidR="00550B9C">
        <w:t xml:space="preserve"> </w:t>
      </w:r>
      <w:r w:rsidR="009033DB">
        <w:t xml:space="preserve">To </w:t>
      </w:r>
      <w:r w:rsidR="00674726">
        <w:t xml:space="preserve">generate </w:t>
      </w:r>
      <w:r w:rsidR="009033DB">
        <w:t xml:space="preserve">the dependent variable, we </w:t>
      </w:r>
      <w:r w:rsidR="00674726">
        <w:t xml:space="preserve">categorize airline demand into 6 </w:t>
      </w:r>
      <w:r w:rsidR="00121226">
        <w:t xml:space="preserve">equal </w:t>
      </w:r>
      <w:r w:rsidR="00674726">
        <w:t>bins</w:t>
      </w:r>
      <w:r w:rsidR="00121226">
        <w:t xml:space="preserve"> based on their </w:t>
      </w:r>
      <w:r w:rsidR="008D18A7">
        <w:t xml:space="preserve">quarterly </w:t>
      </w:r>
      <w:r w:rsidR="00121226">
        <w:t>ranking</w:t>
      </w:r>
      <w:r w:rsidR="009033DB">
        <w:t xml:space="preserve"> as follows: Bin</w:t>
      </w:r>
      <w:r w:rsidR="00674726">
        <w:t xml:space="preserve"> </w:t>
      </w:r>
      <w:r w:rsidR="009033DB">
        <w:t xml:space="preserve">1: </w:t>
      </w:r>
      <w:r w:rsidR="00ED1992">
        <w:t xml:space="preserve">rank </w:t>
      </w:r>
      <w:r w:rsidR="00B231AA">
        <w:t>25</w:t>
      </w:r>
      <w:r w:rsidR="009033DB">
        <w:t>1-</w:t>
      </w:r>
      <w:r w:rsidR="00B231AA">
        <w:t>30</w:t>
      </w:r>
      <w:r w:rsidR="009033DB">
        <w:t>0, Bin</w:t>
      </w:r>
      <w:r w:rsidR="00674726">
        <w:t xml:space="preserve"> </w:t>
      </w:r>
      <w:r w:rsidR="009033DB">
        <w:t xml:space="preserve">2: </w:t>
      </w:r>
      <w:r w:rsidR="00B231AA">
        <w:t>20</w:t>
      </w:r>
      <w:r w:rsidR="009033DB">
        <w:t>1-</w:t>
      </w:r>
      <w:r w:rsidR="00B231AA">
        <w:t>25</w:t>
      </w:r>
      <w:r w:rsidR="009033DB">
        <w:t>0, Bin</w:t>
      </w:r>
      <w:r w:rsidR="00674726">
        <w:t xml:space="preserve"> </w:t>
      </w:r>
      <w:r w:rsidR="009033DB">
        <w:t>3: 1</w:t>
      </w:r>
      <w:r w:rsidR="00B231AA">
        <w:t>5</w:t>
      </w:r>
      <w:r w:rsidR="009033DB">
        <w:t>1-</w:t>
      </w:r>
      <w:r w:rsidR="00B231AA">
        <w:t>20</w:t>
      </w:r>
      <w:r w:rsidR="009033DB">
        <w:t>0, Bin</w:t>
      </w:r>
      <w:r w:rsidR="00674726">
        <w:t xml:space="preserve"> </w:t>
      </w:r>
      <w:r w:rsidR="009033DB">
        <w:t xml:space="preserve">4: </w:t>
      </w:r>
      <w:r w:rsidR="00B231AA">
        <w:t>10</w:t>
      </w:r>
      <w:r w:rsidR="009033DB">
        <w:t>1-</w:t>
      </w:r>
      <w:r w:rsidR="00B231AA">
        <w:t>15</w:t>
      </w:r>
      <w:r w:rsidR="009033DB">
        <w:t>0, Bin</w:t>
      </w:r>
      <w:r w:rsidR="00674726">
        <w:t xml:space="preserve"> </w:t>
      </w:r>
      <w:r w:rsidR="009033DB">
        <w:t xml:space="preserve">5: </w:t>
      </w:r>
      <w:r w:rsidR="00B231AA">
        <w:t>5</w:t>
      </w:r>
      <w:r w:rsidR="009033DB">
        <w:t>1-</w:t>
      </w:r>
      <w:r w:rsidR="00B231AA">
        <w:t>10</w:t>
      </w:r>
      <w:r w:rsidR="009033DB">
        <w:t>0 and Bin</w:t>
      </w:r>
      <w:r w:rsidR="00674726">
        <w:t xml:space="preserve"> </w:t>
      </w:r>
      <w:r w:rsidR="009033DB">
        <w:t>6: 1-</w:t>
      </w:r>
      <w:r w:rsidR="00B231AA">
        <w:t>5</w:t>
      </w:r>
      <w:r w:rsidR="009033DB">
        <w:t>0. Therefore, grouping of the airports has an inherent ordering</w:t>
      </w:r>
      <w:r w:rsidR="00DF5723">
        <w:t>: 1</w:t>
      </w:r>
      <w:r w:rsidR="00B231AA">
        <w:t xml:space="preserve"> – the low</w:t>
      </w:r>
      <w:r w:rsidR="00DF5723">
        <w:t>est demand group and 6</w:t>
      </w:r>
      <w:r w:rsidR="00B231AA">
        <w:t xml:space="preserve"> – the highe</w:t>
      </w:r>
      <w:r w:rsidR="00DF5723">
        <w:t>st demand group</w:t>
      </w:r>
      <w:r w:rsidR="009033DB">
        <w:t xml:space="preserve">. </w:t>
      </w:r>
      <w:r w:rsidR="00FC1615">
        <w:t xml:space="preserve">This ordered dependent variable is </w:t>
      </w:r>
      <w:r w:rsidR="006F7984">
        <w:t xml:space="preserve">supplemented </w:t>
      </w:r>
      <w:r w:rsidR="00FC1615">
        <w:t xml:space="preserve">with a </w:t>
      </w:r>
      <w:r w:rsidR="006F7984">
        <w:t>number of</w:t>
      </w:r>
      <w:r w:rsidR="00FC1615">
        <w:t xml:space="preserve"> independent variables</w:t>
      </w:r>
      <w:r w:rsidR="00DF5723">
        <w:t xml:space="preserve"> including metropolitan statistical area (MSA) spec</w:t>
      </w:r>
      <w:r w:rsidR="0066217E">
        <w:t xml:space="preserve">ific </w:t>
      </w:r>
      <w:r w:rsidR="00BD3DDF">
        <w:t>socio-</w:t>
      </w:r>
      <w:r w:rsidR="0066217E" w:rsidRPr="0066217E">
        <w:t xml:space="preserve">demographic characteristics, built environment </w:t>
      </w:r>
      <w:r w:rsidR="00A135C1">
        <w:t>factors</w:t>
      </w:r>
      <w:r w:rsidR="0066217E" w:rsidRPr="0066217E">
        <w:t xml:space="preserve">, spatial and temporal factors. </w:t>
      </w:r>
      <w:r w:rsidR="00BD3DDF">
        <w:t>Socio-d</w:t>
      </w:r>
      <w:r w:rsidR="0066217E" w:rsidRPr="0066217E">
        <w:t xml:space="preserve">emographic </w:t>
      </w:r>
      <w:r w:rsidR="00CF3C5E">
        <w:t>characteristics</w:t>
      </w:r>
      <w:r w:rsidR="0066217E" w:rsidRPr="0066217E">
        <w:t xml:space="preserve"> include population, household median income, employment,</w:t>
      </w:r>
      <w:r w:rsidR="00CF3C5E">
        <w:t xml:space="preserve"> </w:t>
      </w:r>
      <w:r w:rsidR="0066217E" w:rsidRPr="0066217E">
        <w:t>and education</w:t>
      </w:r>
      <w:r w:rsidR="00ED2EC4">
        <w:t xml:space="preserve">al attainment status </w:t>
      </w:r>
      <w:r w:rsidR="0066217E" w:rsidRPr="0066217E">
        <w:t xml:space="preserve">in the corresponding MSA. Built environment </w:t>
      </w:r>
      <w:r w:rsidR="00A135C1">
        <w:t>factors</w:t>
      </w:r>
      <w:r w:rsidR="0066217E" w:rsidRPr="0066217E">
        <w:t xml:space="preserve"> include </w:t>
      </w:r>
      <w:r w:rsidR="00197C44">
        <w:t xml:space="preserve">the </w:t>
      </w:r>
      <w:r w:rsidR="0066217E" w:rsidRPr="0066217E">
        <w:t xml:space="preserve">number of airports in </w:t>
      </w:r>
      <w:r w:rsidR="00ED2EC4">
        <w:t>close proximity</w:t>
      </w:r>
      <w:r w:rsidR="0066217E" w:rsidRPr="0066217E">
        <w:t xml:space="preserve"> and tourism ranking of the corresponding state. Spatial factors include airport </w:t>
      </w:r>
      <w:r w:rsidR="00197C44">
        <w:t xml:space="preserve">location </w:t>
      </w:r>
      <w:r w:rsidR="009E5EC4">
        <w:t>by</w:t>
      </w:r>
      <w:r w:rsidR="0066217E" w:rsidRPr="0066217E">
        <w:t>region</w:t>
      </w:r>
      <w:r w:rsidR="006C721A">
        <w:t xml:space="preserve"> </w:t>
      </w:r>
      <w:r w:rsidR="009E5EC4">
        <w:t>(</w:t>
      </w:r>
      <w:r w:rsidR="006C721A">
        <w:t>including</w:t>
      </w:r>
      <w:r w:rsidR="008D18A7">
        <w:t xml:space="preserve"> </w:t>
      </w:r>
      <w:r w:rsidR="0066217E" w:rsidRPr="0066217E">
        <w:t>south, north-east, west, mid-west and pacific</w:t>
      </w:r>
      <w:r w:rsidR="009E5EC4">
        <w:t>)</w:t>
      </w:r>
      <w:r w:rsidR="0066217E" w:rsidRPr="0066217E">
        <w:t xml:space="preserve">. Temporal factors include </w:t>
      </w:r>
      <w:r w:rsidR="00D126A2">
        <w:t xml:space="preserve">the </w:t>
      </w:r>
      <w:r w:rsidR="0066217E" w:rsidRPr="0066217E">
        <w:t>quarter</w:t>
      </w:r>
      <w:r w:rsidR="00D126A2">
        <w:t xml:space="preserve"> of passenger demand data considered for</w:t>
      </w:r>
      <w:r w:rsidR="0066217E" w:rsidRPr="0066217E">
        <w:t xml:space="preserve"> the analysis.</w:t>
      </w:r>
      <w:r w:rsidR="003944A9">
        <w:t xml:space="preserve"> </w:t>
      </w:r>
      <w:r w:rsidR="00842BD7">
        <w:t xml:space="preserve">A summary of the variables considered in the </w:t>
      </w:r>
      <w:r w:rsidR="00781969">
        <w:t xml:space="preserve">specification of </w:t>
      </w:r>
      <w:r w:rsidR="00842BD7">
        <w:t>model</w:t>
      </w:r>
      <w:r w:rsidR="00781969">
        <w:t>s</w:t>
      </w:r>
      <w:r w:rsidR="00842BD7">
        <w:t xml:space="preserve">  </w:t>
      </w:r>
      <w:r w:rsidR="005F2AF7">
        <w:t>is</w:t>
      </w:r>
      <w:r w:rsidR="00842BD7">
        <w:t xml:space="preserve"> </w:t>
      </w:r>
      <w:r w:rsidR="00E77AEA">
        <w:t xml:space="preserve">provided in Table </w:t>
      </w:r>
      <w:r w:rsidR="00AE0B07">
        <w:t>2</w:t>
      </w:r>
      <w:r w:rsidR="00E77AEA">
        <w:t xml:space="preserve">. </w:t>
      </w:r>
      <w:r w:rsidR="0066217E">
        <w:t xml:space="preserve">Using the processed dataset, we </w:t>
      </w:r>
      <w:r w:rsidR="00FB6ED9">
        <w:t xml:space="preserve">develop airline demand models using </w:t>
      </w:r>
      <w:r w:rsidR="00ED1992">
        <w:t xml:space="preserve">logistic </w:t>
      </w:r>
      <w:r w:rsidR="009400DB">
        <w:t xml:space="preserve">error distribution resulting in </w:t>
      </w:r>
      <w:r w:rsidR="00FB6ED9">
        <w:t xml:space="preserve">OL, GOL, and </w:t>
      </w:r>
      <w:r w:rsidR="009400DB">
        <w:t xml:space="preserve">mixed </w:t>
      </w:r>
      <w:r w:rsidR="00FB6ED9">
        <w:t xml:space="preserve">GOL formulations. In OL and GOL models, we do not consider the effect of unobserved factors on the outcome variable. In </w:t>
      </w:r>
      <w:r w:rsidR="00A135C1">
        <w:t>M</w:t>
      </w:r>
      <w:r w:rsidR="00FB6ED9">
        <w:t xml:space="preserve">GOL model, we consider the </w:t>
      </w:r>
      <w:r w:rsidR="00972277">
        <w:t xml:space="preserve">potential </w:t>
      </w:r>
      <w:r w:rsidR="00FB6ED9">
        <w:t xml:space="preserve">effect of unobserved factors at different repetition levels and also consider the factors modifying the impact of independent variables (random effect). </w:t>
      </w:r>
    </w:p>
    <w:p w14:paraId="66042954" w14:textId="302F6D5B" w:rsidR="001613D2" w:rsidRDefault="001613D2" w:rsidP="001613D2">
      <w:pPr>
        <w:jc w:val="both"/>
        <w:rPr>
          <w:b/>
          <w:bCs/>
        </w:rPr>
      </w:pPr>
      <w:r w:rsidRPr="00A86E78">
        <w:rPr>
          <w:b/>
          <w:bCs/>
        </w:rPr>
        <w:t xml:space="preserve">TABLE </w:t>
      </w:r>
      <w:r w:rsidR="00AE0B07">
        <w:rPr>
          <w:b/>
          <w:bCs/>
        </w:rPr>
        <w:t>2</w:t>
      </w:r>
      <w:r w:rsidRPr="00A86E78">
        <w:rPr>
          <w:b/>
          <w:bCs/>
        </w:rPr>
        <w:t xml:space="preserve"> Descriptive Statistics of Independent Variables</w:t>
      </w:r>
      <w:r w:rsidR="00C574AA">
        <w:rPr>
          <w:b/>
          <w:bCs/>
        </w:rPr>
        <w:t xml:space="preserve"> </w:t>
      </w:r>
      <w:r w:rsidR="00C574AA" w:rsidRPr="00D602EC">
        <w:t>(Number of airports = 300)</w:t>
      </w:r>
    </w:p>
    <w:tbl>
      <w:tblPr>
        <w:tblW w:w="5000" w:type="pct"/>
        <w:tblLayout w:type="fixed"/>
        <w:tblLook w:val="04A0" w:firstRow="1" w:lastRow="0" w:firstColumn="1" w:lastColumn="0" w:noHBand="0" w:noVBand="1"/>
      </w:tblPr>
      <w:tblGrid>
        <w:gridCol w:w="1616"/>
        <w:gridCol w:w="4858"/>
        <w:gridCol w:w="1260"/>
        <w:gridCol w:w="1616"/>
      </w:tblGrid>
      <w:tr w:rsidR="001613D2" w:rsidRPr="00A86E78" w14:paraId="6D528354" w14:textId="77777777" w:rsidTr="00B53A8B">
        <w:trPr>
          <w:trHeight w:val="290"/>
        </w:trPr>
        <w:tc>
          <w:tcPr>
            <w:tcW w:w="864" w:type="pct"/>
            <w:tcBorders>
              <w:top w:val="single" w:sz="4" w:space="0" w:color="auto"/>
              <w:left w:val="single" w:sz="4" w:space="0" w:color="auto"/>
              <w:bottom w:val="single" w:sz="4" w:space="0" w:color="auto"/>
              <w:right w:val="single" w:sz="4" w:space="0" w:color="auto"/>
            </w:tcBorders>
            <w:noWrap/>
            <w:vAlign w:val="center"/>
            <w:hideMark/>
          </w:tcPr>
          <w:p w14:paraId="48B27054" w14:textId="77777777" w:rsidR="001613D2" w:rsidRPr="00A86E78" w:rsidRDefault="001613D2" w:rsidP="00B53A8B">
            <w:pPr>
              <w:spacing w:after="0"/>
              <w:rPr>
                <w:rFonts w:eastAsia="Times New Roman" w:cs="Times New Roman"/>
                <w:b/>
                <w:bCs/>
                <w:color w:val="000000"/>
                <w:sz w:val="20"/>
                <w:szCs w:val="20"/>
              </w:rPr>
            </w:pPr>
            <w:r w:rsidRPr="00A86E78">
              <w:rPr>
                <w:rFonts w:eastAsia="Times New Roman" w:cs="Times New Roman"/>
                <w:b/>
                <w:bCs/>
                <w:color w:val="000000"/>
                <w:sz w:val="20"/>
                <w:szCs w:val="20"/>
              </w:rPr>
              <w:t>Variables</w:t>
            </w:r>
          </w:p>
        </w:tc>
        <w:tc>
          <w:tcPr>
            <w:tcW w:w="2598" w:type="pct"/>
            <w:tcBorders>
              <w:top w:val="single" w:sz="4" w:space="0" w:color="auto"/>
              <w:left w:val="nil"/>
              <w:bottom w:val="single" w:sz="4" w:space="0" w:color="auto"/>
              <w:right w:val="single" w:sz="4" w:space="0" w:color="auto"/>
            </w:tcBorders>
            <w:noWrap/>
            <w:vAlign w:val="center"/>
            <w:hideMark/>
          </w:tcPr>
          <w:p w14:paraId="008C272D" w14:textId="77777777" w:rsidR="001613D2" w:rsidRPr="00A86E78" w:rsidRDefault="001613D2" w:rsidP="00B53A8B">
            <w:pPr>
              <w:spacing w:after="0"/>
              <w:rPr>
                <w:rFonts w:eastAsia="Times New Roman" w:cs="Times New Roman"/>
                <w:b/>
                <w:bCs/>
                <w:color w:val="000000"/>
                <w:sz w:val="20"/>
                <w:szCs w:val="20"/>
              </w:rPr>
            </w:pPr>
            <w:r w:rsidRPr="00A86E78">
              <w:rPr>
                <w:rFonts w:eastAsia="Times New Roman" w:cs="Times New Roman"/>
                <w:b/>
                <w:bCs/>
                <w:color w:val="000000"/>
                <w:sz w:val="20"/>
                <w:szCs w:val="20"/>
              </w:rPr>
              <w:t>Description</w:t>
            </w:r>
          </w:p>
        </w:tc>
        <w:tc>
          <w:tcPr>
            <w:tcW w:w="674" w:type="pct"/>
            <w:tcBorders>
              <w:top w:val="single" w:sz="4" w:space="0" w:color="auto"/>
              <w:left w:val="nil"/>
              <w:bottom w:val="single" w:sz="4" w:space="0" w:color="auto"/>
              <w:right w:val="single" w:sz="4" w:space="0" w:color="auto"/>
            </w:tcBorders>
            <w:noWrap/>
            <w:vAlign w:val="center"/>
            <w:hideMark/>
          </w:tcPr>
          <w:p w14:paraId="1BC7A8F7" w14:textId="77777777" w:rsidR="001613D2" w:rsidRPr="00A86E78" w:rsidRDefault="001613D2" w:rsidP="00B53A8B">
            <w:pPr>
              <w:spacing w:after="0"/>
              <w:rPr>
                <w:rFonts w:eastAsia="Times New Roman" w:cs="Times New Roman"/>
                <w:b/>
                <w:bCs/>
                <w:color w:val="000000"/>
                <w:sz w:val="20"/>
                <w:szCs w:val="20"/>
              </w:rPr>
            </w:pPr>
            <w:r w:rsidRPr="00A86E78">
              <w:rPr>
                <w:rFonts w:eastAsia="Times New Roman" w:cs="Times New Roman"/>
                <w:b/>
                <w:bCs/>
                <w:color w:val="000000"/>
                <w:sz w:val="20"/>
                <w:szCs w:val="20"/>
              </w:rPr>
              <w:t>Mean</w:t>
            </w:r>
          </w:p>
        </w:tc>
        <w:tc>
          <w:tcPr>
            <w:tcW w:w="864" w:type="pct"/>
            <w:tcBorders>
              <w:top w:val="single" w:sz="4" w:space="0" w:color="auto"/>
              <w:left w:val="nil"/>
              <w:bottom w:val="single" w:sz="4" w:space="0" w:color="auto"/>
              <w:right w:val="single" w:sz="4" w:space="0" w:color="auto"/>
            </w:tcBorders>
            <w:noWrap/>
            <w:vAlign w:val="center"/>
            <w:hideMark/>
          </w:tcPr>
          <w:p w14:paraId="55A9C760" w14:textId="77777777" w:rsidR="001613D2" w:rsidRPr="00A86E78" w:rsidRDefault="001613D2" w:rsidP="00B53A8B">
            <w:pPr>
              <w:spacing w:after="0"/>
              <w:rPr>
                <w:rFonts w:eastAsia="Times New Roman" w:cs="Times New Roman"/>
                <w:b/>
                <w:bCs/>
                <w:color w:val="000000"/>
                <w:sz w:val="20"/>
                <w:szCs w:val="20"/>
              </w:rPr>
            </w:pPr>
            <w:r w:rsidRPr="00A86E78">
              <w:rPr>
                <w:rFonts w:eastAsia="Times New Roman" w:cs="Times New Roman"/>
                <w:b/>
                <w:bCs/>
                <w:color w:val="000000"/>
                <w:sz w:val="20"/>
                <w:szCs w:val="20"/>
              </w:rPr>
              <w:t>Standard Deviation</w:t>
            </w:r>
          </w:p>
        </w:tc>
      </w:tr>
      <w:tr w:rsidR="001613D2" w:rsidRPr="00A86E78" w14:paraId="3B46740A" w14:textId="77777777" w:rsidTr="00B53A8B">
        <w:trPr>
          <w:trHeight w:val="29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118520C2" w14:textId="77777777" w:rsidR="001613D2" w:rsidRPr="00A86E78" w:rsidRDefault="001613D2" w:rsidP="00B53A8B">
            <w:pPr>
              <w:spacing w:after="0"/>
              <w:jc w:val="center"/>
              <w:rPr>
                <w:rFonts w:eastAsia="Times New Roman" w:cs="Times New Roman"/>
                <w:b/>
                <w:bCs/>
                <w:color w:val="000000"/>
                <w:sz w:val="20"/>
                <w:szCs w:val="20"/>
              </w:rPr>
            </w:pPr>
            <w:r w:rsidRPr="00A86E78">
              <w:rPr>
                <w:rFonts w:eastAsia="Times New Roman" w:cs="Times New Roman"/>
                <w:b/>
                <w:bCs/>
                <w:color w:val="000000"/>
                <w:sz w:val="20"/>
                <w:szCs w:val="20"/>
              </w:rPr>
              <w:t>Continuous Variables</w:t>
            </w:r>
          </w:p>
        </w:tc>
      </w:tr>
      <w:tr w:rsidR="001613D2" w:rsidRPr="00A86E78" w14:paraId="2A2180E6" w14:textId="77777777" w:rsidTr="00B53A8B">
        <w:trPr>
          <w:trHeight w:val="29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18DE7B00" w14:textId="77777777" w:rsidR="001613D2" w:rsidRPr="00A86E78" w:rsidRDefault="001613D2" w:rsidP="00B53A8B">
            <w:pPr>
              <w:spacing w:after="0"/>
              <w:rPr>
                <w:rFonts w:eastAsia="Times New Roman" w:cs="Times New Roman"/>
                <w:b/>
                <w:bCs/>
                <w:i/>
                <w:iCs/>
                <w:color w:val="000000"/>
                <w:sz w:val="20"/>
                <w:szCs w:val="20"/>
              </w:rPr>
            </w:pPr>
            <w:r w:rsidRPr="00A86E78">
              <w:rPr>
                <w:rFonts w:eastAsia="Times New Roman" w:cs="Times New Roman"/>
                <w:b/>
                <w:bCs/>
                <w:i/>
                <w:iCs/>
                <w:color w:val="000000"/>
                <w:sz w:val="20"/>
                <w:szCs w:val="20"/>
              </w:rPr>
              <w:t>Demographic Characteristics</w:t>
            </w:r>
          </w:p>
        </w:tc>
      </w:tr>
      <w:tr w:rsidR="001613D2" w:rsidRPr="00A86E78" w14:paraId="1DAFD3F8"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625ABF7C"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Population</w:t>
            </w:r>
          </w:p>
        </w:tc>
        <w:tc>
          <w:tcPr>
            <w:tcW w:w="2598" w:type="pct"/>
            <w:tcBorders>
              <w:top w:val="nil"/>
              <w:left w:val="nil"/>
              <w:bottom w:val="single" w:sz="4" w:space="0" w:color="auto"/>
              <w:right w:val="single" w:sz="4" w:space="0" w:color="auto"/>
            </w:tcBorders>
            <w:noWrap/>
            <w:vAlign w:val="center"/>
            <w:hideMark/>
          </w:tcPr>
          <w:p w14:paraId="4E70E046"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MSA population in million</w:t>
            </w:r>
          </w:p>
        </w:tc>
        <w:tc>
          <w:tcPr>
            <w:tcW w:w="674" w:type="pct"/>
            <w:tcBorders>
              <w:top w:val="nil"/>
              <w:left w:val="nil"/>
              <w:bottom w:val="single" w:sz="4" w:space="0" w:color="auto"/>
              <w:right w:val="single" w:sz="4" w:space="0" w:color="auto"/>
            </w:tcBorders>
            <w:noWrap/>
            <w:vAlign w:val="center"/>
            <w:hideMark/>
          </w:tcPr>
          <w:p w14:paraId="5B58AA4E"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1.430</w:t>
            </w:r>
          </w:p>
        </w:tc>
        <w:tc>
          <w:tcPr>
            <w:tcW w:w="864" w:type="pct"/>
            <w:tcBorders>
              <w:top w:val="nil"/>
              <w:left w:val="nil"/>
              <w:bottom w:val="single" w:sz="4" w:space="0" w:color="auto"/>
              <w:right w:val="single" w:sz="4" w:space="0" w:color="auto"/>
            </w:tcBorders>
            <w:noWrap/>
            <w:vAlign w:val="center"/>
            <w:hideMark/>
          </w:tcPr>
          <w:p w14:paraId="738A5A1C"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3.241</w:t>
            </w:r>
          </w:p>
        </w:tc>
      </w:tr>
      <w:tr w:rsidR="001613D2" w:rsidRPr="00A86E78" w14:paraId="0B3D5906"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7D6384DE"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Median Income</w:t>
            </w:r>
          </w:p>
        </w:tc>
        <w:tc>
          <w:tcPr>
            <w:tcW w:w="2598" w:type="pct"/>
            <w:tcBorders>
              <w:top w:val="nil"/>
              <w:left w:val="nil"/>
              <w:bottom w:val="single" w:sz="4" w:space="0" w:color="auto"/>
              <w:right w:val="single" w:sz="4" w:space="0" w:color="auto"/>
            </w:tcBorders>
            <w:noWrap/>
            <w:vAlign w:val="center"/>
            <w:hideMark/>
          </w:tcPr>
          <w:p w14:paraId="6DED2631" w14:textId="21B0CA12" w:rsidR="001613D2" w:rsidRPr="00A86E78" w:rsidRDefault="00423293" w:rsidP="00B53A8B">
            <w:pPr>
              <w:spacing w:after="0"/>
              <w:rPr>
                <w:rFonts w:eastAsia="Times New Roman" w:cs="Times New Roman"/>
                <w:color w:val="000000"/>
                <w:sz w:val="20"/>
                <w:szCs w:val="20"/>
              </w:rPr>
            </w:pPr>
            <w:r>
              <w:rPr>
                <w:rFonts w:eastAsia="Times New Roman" w:cs="Times New Roman"/>
                <w:color w:val="000000"/>
                <w:sz w:val="20"/>
                <w:szCs w:val="20"/>
              </w:rPr>
              <w:t>MSA level m</w:t>
            </w:r>
            <w:r w:rsidR="001613D2" w:rsidRPr="00A86E78">
              <w:rPr>
                <w:rFonts w:eastAsia="Times New Roman" w:cs="Times New Roman"/>
                <w:color w:val="000000"/>
                <w:sz w:val="20"/>
                <w:szCs w:val="20"/>
              </w:rPr>
              <w:t>edian income in 100K</w:t>
            </w:r>
          </w:p>
        </w:tc>
        <w:tc>
          <w:tcPr>
            <w:tcW w:w="674" w:type="pct"/>
            <w:tcBorders>
              <w:top w:val="nil"/>
              <w:left w:val="nil"/>
              <w:bottom w:val="single" w:sz="4" w:space="0" w:color="auto"/>
              <w:right w:val="single" w:sz="4" w:space="0" w:color="auto"/>
            </w:tcBorders>
            <w:noWrap/>
            <w:vAlign w:val="center"/>
            <w:hideMark/>
          </w:tcPr>
          <w:p w14:paraId="3DDF1538"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0.544</w:t>
            </w:r>
          </w:p>
        </w:tc>
        <w:tc>
          <w:tcPr>
            <w:tcW w:w="864" w:type="pct"/>
            <w:tcBorders>
              <w:top w:val="nil"/>
              <w:left w:val="nil"/>
              <w:bottom w:val="single" w:sz="4" w:space="0" w:color="auto"/>
              <w:right w:val="single" w:sz="4" w:space="0" w:color="auto"/>
            </w:tcBorders>
            <w:noWrap/>
            <w:vAlign w:val="center"/>
            <w:hideMark/>
          </w:tcPr>
          <w:p w14:paraId="323DE315"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0.112</w:t>
            </w:r>
          </w:p>
        </w:tc>
      </w:tr>
      <w:tr w:rsidR="001613D2" w:rsidRPr="00A86E78" w14:paraId="40D8EBBD"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4B8CFE17"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Employment</w:t>
            </w:r>
          </w:p>
        </w:tc>
        <w:tc>
          <w:tcPr>
            <w:tcW w:w="2598" w:type="pct"/>
            <w:tcBorders>
              <w:top w:val="nil"/>
              <w:left w:val="nil"/>
              <w:bottom w:val="single" w:sz="4" w:space="0" w:color="auto"/>
              <w:right w:val="single" w:sz="4" w:space="0" w:color="auto"/>
            </w:tcBorders>
            <w:noWrap/>
            <w:vAlign w:val="center"/>
            <w:hideMark/>
          </w:tcPr>
          <w:p w14:paraId="7AFC9A0F"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Ln(MSA employment in thousand+1)</w:t>
            </w:r>
          </w:p>
        </w:tc>
        <w:tc>
          <w:tcPr>
            <w:tcW w:w="674" w:type="pct"/>
            <w:tcBorders>
              <w:top w:val="nil"/>
              <w:left w:val="nil"/>
              <w:bottom w:val="single" w:sz="4" w:space="0" w:color="auto"/>
              <w:right w:val="single" w:sz="4" w:space="0" w:color="auto"/>
            </w:tcBorders>
            <w:noWrap/>
            <w:vAlign w:val="center"/>
            <w:hideMark/>
          </w:tcPr>
          <w:p w14:paraId="47AF2C42"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5.223</w:t>
            </w:r>
          </w:p>
        </w:tc>
        <w:tc>
          <w:tcPr>
            <w:tcW w:w="864" w:type="pct"/>
            <w:tcBorders>
              <w:top w:val="nil"/>
              <w:left w:val="nil"/>
              <w:bottom w:val="single" w:sz="4" w:space="0" w:color="auto"/>
              <w:right w:val="single" w:sz="4" w:space="0" w:color="auto"/>
            </w:tcBorders>
            <w:noWrap/>
            <w:vAlign w:val="center"/>
            <w:hideMark/>
          </w:tcPr>
          <w:p w14:paraId="2641AEBA"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1.503</w:t>
            </w:r>
          </w:p>
        </w:tc>
      </w:tr>
      <w:tr w:rsidR="001613D2" w:rsidRPr="00A86E78" w14:paraId="79C5C6AB" w14:textId="77777777" w:rsidTr="00B53A8B">
        <w:trPr>
          <w:trHeight w:val="29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5CD88727" w14:textId="77777777" w:rsidR="001613D2" w:rsidRPr="00A86E78" w:rsidRDefault="001613D2" w:rsidP="00B53A8B">
            <w:pPr>
              <w:spacing w:after="0"/>
              <w:rPr>
                <w:rFonts w:eastAsia="Times New Roman" w:cs="Times New Roman"/>
                <w:b/>
                <w:bCs/>
                <w:i/>
                <w:iCs/>
                <w:color w:val="000000"/>
                <w:sz w:val="20"/>
                <w:szCs w:val="20"/>
              </w:rPr>
            </w:pPr>
            <w:r w:rsidRPr="00A86E78">
              <w:rPr>
                <w:rFonts w:eastAsia="Times New Roman" w:cs="Times New Roman"/>
                <w:b/>
                <w:bCs/>
                <w:i/>
                <w:iCs/>
                <w:color w:val="000000"/>
                <w:sz w:val="20"/>
                <w:szCs w:val="20"/>
              </w:rPr>
              <w:t>Built Environment Factors</w:t>
            </w:r>
          </w:p>
        </w:tc>
      </w:tr>
      <w:tr w:rsidR="001613D2" w:rsidRPr="00A86E78" w14:paraId="48696EFD"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336396B7"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No. of airports</w:t>
            </w:r>
          </w:p>
        </w:tc>
        <w:tc>
          <w:tcPr>
            <w:tcW w:w="2598" w:type="pct"/>
            <w:tcBorders>
              <w:top w:val="nil"/>
              <w:left w:val="nil"/>
              <w:bottom w:val="single" w:sz="4" w:space="0" w:color="auto"/>
              <w:right w:val="single" w:sz="4" w:space="0" w:color="auto"/>
            </w:tcBorders>
            <w:noWrap/>
            <w:vAlign w:val="center"/>
            <w:hideMark/>
          </w:tcPr>
          <w:p w14:paraId="0E99C96B"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 xml:space="preserve">Ln(No. of airports in 50-mile buffer area+1) </w:t>
            </w:r>
          </w:p>
        </w:tc>
        <w:tc>
          <w:tcPr>
            <w:tcW w:w="674" w:type="pct"/>
            <w:tcBorders>
              <w:top w:val="nil"/>
              <w:left w:val="nil"/>
              <w:bottom w:val="single" w:sz="4" w:space="0" w:color="auto"/>
              <w:right w:val="single" w:sz="4" w:space="0" w:color="auto"/>
            </w:tcBorders>
            <w:noWrap/>
            <w:vAlign w:val="center"/>
            <w:hideMark/>
          </w:tcPr>
          <w:p w14:paraId="3CD0C6AB"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1.803</w:t>
            </w:r>
          </w:p>
        </w:tc>
        <w:tc>
          <w:tcPr>
            <w:tcW w:w="864" w:type="pct"/>
            <w:tcBorders>
              <w:top w:val="nil"/>
              <w:left w:val="nil"/>
              <w:bottom w:val="single" w:sz="4" w:space="0" w:color="auto"/>
              <w:right w:val="single" w:sz="4" w:space="0" w:color="auto"/>
            </w:tcBorders>
            <w:noWrap/>
            <w:vAlign w:val="center"/>
            <w:hideMark/>
          </w:tcPr>
          <w:p w14:paraId="30625BD3"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0.737</w:t>
            </w:r>
          </w:p>
        </w:tc>
      </w:tr>
      <w:tr w:rsidR="001613D2" w:rsidRPr="00A86E78" w14:paraId="4AC8B28E" w14:textId="77777777" w:rsidTr="00B53A8B">
        <w:trPr>
          <w:trHeight w:val="29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0FD3C8BD" w14:textId="77777777" w:rsidR="001613D2" w:rsidRPr="00A86E78" w:rsidRDefault="001613D2" w:rsidP="00B53A8B">
            <w:pPr>
              <w:spacing w:after="0"/>
              <w:jc w:val="center"/>
              <w:rPr>
                <w:rFonts w:eastAsia="Times New Roman" w:cs="Times New Roman"/>
                <w:b/>
                <w:bCs/>
                <w:color w:val="000000"/>
                <w:sz w:val="20"/>
                <w:szCs w:val="20"/>
              </w:rPr>
            </w:pPr>
            <w:r w:rsidRPr="00A86E78">
              <w:rPr>
                <w:rFonts w:eastAsia="Times New Roman" w:cs="Times New Roman"/>
                <w:b/>
                <w:bCs/>
                <w:color w:val="000000"/>
                <w:sz w:val="20"/>
                <w:szCs w:val="20"/>
              </w:rPr>
              <w:t>Categorical Variables</w:t>
            </w:r>
          </w:p>
        </w:tc>
      </w:tr>
      <w:tr w:rsidR="001613D2" w:rsidRPr="00A86E78" w14:paraId="67624AE3"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1076DEC2" w14:textId="77777777" w:rsidR="001613D2" w:rsidRPr="00A86E78" w:rsidRDefault="001613D2" w:rsidP="00B53A8B">
            <w:pPr>
              <w:spacing w:after="0"/>
              <w:rPr>
                <w:rFonts w:eastAsia="Times New Roman" w:cs="Times New Roman"/>
                <w:b/>
                <w:bCs/>
                <w:color w:val="000000"/>
                <w:sz w:val="20"/>
                <w:szCs w:val="20"/>
              </w:rPr>
            </w:pPr>
            <w:r w:rsidRPr="00A86E78">
              <w:rPr>
                <w:rFonts w:eastAsia="Times New Roman" w:cs="Times New Roman"/>
                <w:b/>
                <w:bCs/>
                <w:color w:val="000000"/>
                <w:sz w:val="20"/>
                <w:szCs w:val="20"/>
              </w:rPr>
              <w:t>Variables</w:t>
            </w:r>
          </w:p>
        </w:tc>
        <w:tc>
          <w:tcPr>
            <w:tcW w:w="2598" w:type="pct"/>
            <w:tcBorders>
              <w:top w:val="nil"/>
              <w:left w:val="nil"/>
              <w:bottom w:val="single" w:sz="4" w:space="0" w:color="auto"/>
              <w:right w:val="single" w:sz="4" w:space="0" w:color="auto"/>
            </w:tcBorders>
            <w:noWrap/>
            <w:vAlign w:val="center"/>
            <w:hideMark/>
          </w:tcPr>
          <w:p w14:paraId="3B4C84E7" w14:textId="77777777" w:rsidR="001613D2" w:rsidRPr="00A86E78" w:rsidRDefault="001613D2" w:rsidP="00B53A8B">
            <w:pPr>
              <w:spacing w:after="0"/>
              <w:rPr>
                <w:rFonts w:eastAsia="Times New Roman" w:cs="Times New Roman"/>
                <w:b/>
                <w:bCs/>
                <w:color w:val="000000"/>
                <w:sz w:val="20"/>
                <w:szCs w:val="20"/>
              </w:rPr>
            </w:pPr>
            <w:r w:rsidRPr="00A86E78">
              <w:rPr>
                <w:rFonts w:eastAsia="Times New Roman" w:cs="Times New Roman"/>
                <w:b/>
                <w:bCs/>
                <w:color w:val="000000"/>
                <w:sz w:val="20"/>
                <w:szCs w:val="20"/>
              </w:rPr>
              <w:t>Description</w:t>
            </w:r>
          </w:p>
        </w:tc>
        <w:tc>
          <w:tcPr>
            <w:tcW w:w="674" w:type="pct"/>
            <w:tcBorders>
              <w:top w:val="nil"/>
              <w:left w:val="nil"/>
              <w:bottom w:val="single" w:sz="4" w:space="0" w:color="auto"/>
              <w:right w:val="single" w:sz="4" w:space="0" w:color="auto"/>
            </w:tcBorders>
            <w:noWrap/>
            <w:vAlign w:val="center"/>
            <w:hideMark/>
          </w:tcPr>
          <w:p w14:paraId="01937640" w14:textId="77777777" w:rsidR="001613D2" w:rsidRPr="00A86E78" w:rsidRDefault="001613D2" w:rsidP="00B53A8B">
            <w:pPr>
              <w:spacing w:after="0"/>
              <w:rPr>
                <w:rFonts w:eastAsia="Times New Roman" w:cs="Times New Roman"/>
                <w:b/>
                <w:bCs/>
                <w:color w:val="000000"/>
                <w:sz w:val="20"/>
                <w:szCs w:val="20"/>
              </w:rPr>
            </w:pPr>
            <w:r w:rsidRPr="00A86E78">
              <w:rPr>
                <w:rFonts w:eastAsia="Times New Roman" w:cs="Times New Roman"/>
                <w:b/>
                <w:bCs/>
                <w:color w:val="000000"/>
                <w:sz w:val="20"/>
                <w:szCs w:val="20"/>
              </w:rPr>
              <w:t>Freq</w:t>
            </w:r>
            <w:r>
              <w:rPr>
                <w:rFonts w:eastAsia="Times New Roman" w:cs="Times New Roman"/>
                <w:b/>
                <w:bCs/>
                <w:color w:val="000000"/>
                <w:sz w:val="20"/>
                <w:szCs w:val="20"/>
              </w:rPr>
              <w:t>.</w:t>
            </w:r>
          </w:p>
        </w:tc>
        <w:tc>
          <w:tcPr>
            <w:tcW w:w="864" w:type="pct"/>
            <w:tcBorders>
              <w:top w:val="nil"/>
              <w:left w:val="nil"/>
              <w:bottom w:val="single" w:sz="4" w:space="0" w:color="auto"/>
              <w:right w:val="single" w:sz="4" w:space="0" w:color="auto"/>
            </w:tcBorders>
            <w:noWrap/>
            <w:vAlign w:val="center"/>
            <w:hideMark/>
          </w:tcPr>
          <w:p w14:paraId="112C310C" w14:textId="77777777" w:rsidR="001613D2" w:rsidRPr="00A86E78" w:rsidRDefault="001613D2" w:rsidP="00B53A8B">
            <w:pPr>
              <w:spacing w:after="0"/>
              <w:rPr>
                <w:rFonts w:eastAsia="Times New Roman" w:cs="Times New Roman"/>
                <w:b/>
                <w:bCs/>
                <w:color w:val="000000"/>
                <w:sz w:val="20"/>
                <w:szCs w:val="20"/>
              </w:rPr>
            </w:pPr>
            <w:r w:rsidRPr="00A86E78">
              <w:rPr>
                <w:rFonts w:eastAsia="Times New Roman" w:cs="Times New Roman"/>
                <w:b/>
                <w:bCs/>
                <w:color w:val="000000"/>
                <w:sz w:val="20"/>
                <w:szCs w:val="20"/>
              </w:rPr>
              <w:t>Percentage</w:t>
            </w:r>
          </w:p>
        </w:tc>
      </w:tr>
      <w:tr w:rsidR="001613D2" w:rsidRPr="00A86E78" w14:paraId="64F959D9" w14:textId="77777777" w:rsidTr="00B53A8B">
        <w:trPr>
          <w:trHeight w:val="29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40DFCE47" w14:textId="77777777" w:rsidR="001613D2" w:rsidRPr="00A86E78" w:rsidRDefault="001613D2" w:rsidP="00B53A8B">
            <w:pPr>
              <w:spacing w:after="0"/>
              <w:rPr>
                <w:rFonts w:eastAsia="Times New Roman" w:cs="Times New Roman"/>
                <w:b/>
                <w:bCs/>
                <w:i/>
                <w:iCs/>
                <w:color w:val="000000"/>
                <w:sz w:val="20"/>
                <w:szCs w:val="20"/>
              </w:rPr>
            </w:pPr>
            <w:r w:rsidRPr="00A86E78">
              <w:rPr>
                <w:rFonts w:eastAsia="Times New Roman" w:cs="Times New Roman"/>
                <w:b/>
                <w:bCs/>
                <w:i/>
                <w:iCs/>
                <w:color w:val="000000"/>
                <w:sz w:val="20"/>
                <w:szCs w:val="20"/>
              </w:rPr>
              <w:t>Demographic Characteristics</w:t>
            </w:r>
          </w:p>
        </w:tc>
      </w:tr>
      <w:tr w:rsidR="001613D2" w:rsidRPr="00A86E78" w14:paraId="01082600" w14:textId="77777777" w:rsidTr="00B53A8B">
        <w:trPr>
          <w:trHeight w:val="29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4CF8D4CA"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Educational Status</w:t>
            </w:r>
          </w:p>
        </w:tc>
      </w:tr>
      <w:tr w:rsidR="001613D2" w:rsidRPr="00A86E78" w14:paraId="4B84E656"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30A66E98"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Low</w:t>
            </w:r>
          </w:p>
        </w:tc>
        <w:tc>
          <w:tcPr>
            <w:tcW w:w="2598" w:type="pct"/>
            <w:tcBorders>
              <w:top w:val="nil"/>
              <w:left w:val="nil"/>
              <w:bottom w:val="single" w:sz="4" w:space="0" w:color="auto"/>
              <w:right w:val="single" w:sz="4" w:space="0" w:color="auto"/>
            </w:tcBorders>
            <w:noWrap/>
            <w:vAlign w:val="center"/>
            <w:hideMark/>
          </w:tcPr>
          <w:p w14:paraId="7BED9795" w14:textId="3FF6154E" w:rsidR="001613D2" w:rsidRPr="00A86E78" w:rsidRDefault="00280314" w:rsidP="00B53A8B">
            <w:pPr>
              <w:spacing w:after="0"/>
              <w:rPr>
                <w:rFonts w:eastAsia="Times New Roman" w:cs="Times New Roman"/>
                <w:color w:val="000000"/>
                <w:sz w:val="20"/>
                <w:szCs w:val="20"/>
              </w:rPr>
            </w:pPr>
            <w:r>
              <w:rPr>
                <w:rFonts w:eastAsia="Times New Roman" w:cs="Times New Roman"/>
                <w:color w:val="000000"/>
                <w:sz w:val="20"/>
                <w:szCs w:val="20"/>
              </w:rPr>
              <w:t>%</w:t>
            </w:r>
            <w:r w:rsidRPr="00A86E78">
              <w:rPr>
                <w:rFonts w:eastAsia="Times New Roman" w:cs="Times New Roman"/>
                <w:color w:val="000000"/>
                <w:sz w:val="20"/>
                <w:szCs w:val="20"/>
              </w:rPr>
              <w:t xml:space="preserve"> </w:t>
            </w:r>
            <w:r w:rsidR="001613D2" w:rsidRPr="00A86E78">
              <w:rPr>
                <w:rFonts w:eastAsia="Times New Roman" w:cs="Times New Roman"/>
                <w:color w:val="000000"/>
                <w:sz w:val="20"/>
                <w:szCs w:val="20"/>
              </w:rPr>
              <w:t>of adults</w:t>
            </w:r>
            <w:r w:rsidR="00B36CAA">
              <w:rPr>
                <w:rFonts w:eastAsia="Times New Roman" w:cs="Times New Roman"/>
                <w:color w:val="000000"/>
                <w:sz w:val="20"/>
                <w:szCs w:val="20"/>
              </w:rPr>
              <w:t xml:space="preserve"> </w:t>
            </w:r>
            <w:r>
              <w:rPr>
                <w:rFonts w:eastAsia="Times New Roman" w:cs="Times New Roman"/>
                <w:color w:val="000000"/>
                <w:sz w:val="20"/>
                <w:szCs w:val="20"/>
              </w:rPr>
              <w:t>without a</w:t>
            </w:r>
            <w:r w:rsidR="001613D2" w:rsidRPr="00A86E78">
              <w:rPr>
                <w:rFonts w:eastAsia="Times New Roman" w:cs="Times New Roman"/>
                <w:color w:val="000000"/>
                <w:sz w:val="20"/>
                <w:szCs w:val="20"/>
              </w:rPr>
              <w:t xml:space="preserve"> high school degree</w:t>
            </w:r>
            <w:r w:rsidR="00B36CAA">
              <w:rPr>
                <w:rFonts w:eastAsia="Times New Roman" w:cs="Times New Roman"/>
                <w:color w:val="000000"/>
                <w:sz w:val="20"/>
                <w:szCs w:val="20"/>
              </w:rPr>
              <w:t xml:space="preserve"> &gt;</w:t>
            </w:r>
            <w:r w:rsidR="001613D2" w:rsidRPr="00A86E78">
              <w:rPr>
                <w:rFonts w:eastAsia="Times New Roman" w:cs="Times New Roman"/>
                <w:color w:val="000000"/>
                <w:sz w:val="20"/>
                <w:szCs w:val="20"/>
              </w:rPr>
              <w:t xml:space="preserve"> </w:t>
            </w:r>
            <w:r w:rsidR="00B36CAA">
              <w:rPr>
                <w:rFonts w:eastAsia="Times New Roman" w:cs="Times New Roman"/>
                <w:color w:val="000000"/>
                <w:sz w:val="20"/>
                <w:szCs w:val="20"/>
              </w:rPr>
              <w:t>12</w:t>
            </w:r>
            <w:r w:rsidR="001613D2" w:rsidRPr="00A86E78">
              <w:rPr>
                <w:rFonts w:eastAsia="Times New Roman" w:cs="Times New Roman"/>
                <w:color w:val="000000"/>
                <w:sz w:val="20"/>
                <w:szCs w:val="20"/>
              </w:rPr>
              <w:t>%</w:t>
            </w:r>
          </w:p>
        </w:tc>
        <w:tc>
          <w:tcPr>
            <w:tcW w:w="674" w:type="pct"/>
            <w:tcBorders>
              <w:top w:val="nil"/>
              <w:left w:val="nil"/>
              <w:bottom w:val="single" w:sz="4" w:space="0" w:color="auto"/>
              <w:right w:val="single" w:sz="4" w:space="0" w:color="auto"/>
            </w:tcBorders>
            <w:noWrap/>
            <w:vAlign w:val="center"/>
            <w:hideMark/>
          </w:tcPr>
          <w:p w14:paraId="64DD16B7"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2748</w:t>
            </w:r>
          </w:p>
        </w:tc>
        <w:tc>
          <w:tcPr>
            <w:tcW w:w="864" w:type="pct"/>
            <w:tcBorders>
              <w:top w:val="nil"/>
              <w:left w:val="nil"/>
              <w:bottom w:val="single" w:sz="4" w:space="0" w:color="auto"/>
              <w:right w:val="single" w:sz="4" w:space="0" w:color="auto"/>
            </w:tcBorders>
            <w:noWrap/>
            <w:vAlign w:val="center"/>
            <w:hideMark/>
          </w:tcPr>
          <w:p w14:paraId="10BD5C26"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45.80</w:t>
            </w:r>
          </w:p>
        </w:tc>
      </w:tr>
      <w:tr w:rsidR="001613D2" w:rsidRPr="00A86E78" w14:paraId="5032055F"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4485447D"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High</w:t>
            </w:r>
          </w:p>
        </w:tc>
        <w:tc>
          <w:tcPr>
            <w:tcW w:w="2598" w:type="pct"/>
            <w:tcBorders>
              <w:top w:val="nil"/>
              <w:left w:val="nil"/>
              <w:bottom w:val="single" w:sz="4" w:space="0" w:color="auto"/>
              <w:right w:val="single" w:sz="4" w:space="0" w:color="auto"/>
            </w:tcBorders>
            <w:noWrap/>
            <w:vAlign w:val="center"/>
            <w:hideMark/>
          </w:tcPr>
          <w:p w14:paraId="47A141AE" w14:textId="4B104007" w:rsidR="001613D2" w:rsidRPr="00A86E78" w:rsidRDefault="00280314" w:rsidP="00B53A8B">
            <w:pPr>
              <w:spacing w:after="0"/>
              <w:rPr>
                <w:rFonts w:eastAsia="Times New Roman" w:cs="Times New Roman"/>
                <w:color w:val="000000"/>
                <w:sz w:val="20"/>
                <w:szCs w:val="20"/>
              </w:rPr>
            </w:pPr>
            <w:r>
              <w:rPr>
                <w:rFonts w:eastAsia="Times New Roman" w:cs="Times New Roman"/>
                <w:color w:val="000000"/>
                <w:sz w:val="20"/>
                <w:szCs w:val="20"/>
              </w:rPr>
              <w:t>%</w:t>
            </w:r>
            <w:r w:rsidRPr="00A86E78">
              <w:rPr>
                <w:rFonts w:eastAsia="Times New Roman" w:cs="Times New Roman"/>
                <w:color w:val="000000"/>
                <w:sz w:val="20"/>
                <w:szCs w:val="20"/>
              </w:rPr>
              <w:t xml:space="preserve"> </w:t>
            </w:r>
            <w:r w:rsidR="001613D2" w:rsidRPr="00A86E78">
              <w:rPr>
                <w:rFonts w:eastAsia="Times New Roman" w:cs="Times New Roman"/>
                <w:color w:val="000000"/>
                <w:sz w:val="20"/>
                <w:szCs w:val="20"/>
              </w:rPr>
              <w:t xml:space="preserve">of adults </w:t>
            </w:r>
            <w:r>
              <w:rPr>
                <w:rFonts w:eastAsia="Times New Roman" w:cs="Times New Roman"/>
                <w:color w:val="000000"/>
                <w:sz w:val="20"/>
                <w:szCs w:val="20"/>
              </w:rPr>
              <w:t>without a</w:t>
            </w:r>
            <w:r w:rsidR="001613D2" w:rsidRPr="00A86E78">
              <w:rPr>
                <w:rFonts w:eastAsia="Times New Roman" w:cs="Times New Roman"/>
                <w:color w:val="000000"/>
                <w:sz w:val="20"/>
                <w:szCs w:val="20"/>
              </w:rPr>
              <w:t xml:space="preserve"> high school degree</w:t>
            </w:r>
            <w:r w:rsidR="00B36CAA">
              <w:rPr>
                <w:rFonts w:eastAsia="Times New Roman" w:cs="Times New Roman"/>
                <w:color w:val="000000"/>
                <w:sz w:val="20"/>
                <w:szCs w:val="20"/>
              </w:rPr>
              <w:t xml:space="preserve"> ≤</w:t>
            </w:r>
            <w:r w:rsidR="001613D2" w:rsidRPr="00A86E78">
              <w:rPr>
                <w:rFonts w:eastAsia="Times New Roman" w:cs="Times New Roman"/>
                <w:color w:val="000000"/>
                <w:sz w:val="20"/>
                <w:szCs w:val="20"/>
              </w:rPr>
              <w:t xml:space="preserve"> </w:t>
            </w:r>
            <w:r w:rsidR="00B36CAA">
              <w:rPr>
                <w:rFonts w:eastAsia="Times New Roman" w:cs="Times New Roman"/>
                <w:color w:val="000000"/>
                <w:sz w:val="20"/>
                <w:szCs w:val="20"/>
              </w:rPr>
              <w:t>12</w:t>
            </w:r>
            <w:r w:rsidR="001613D2" w:rsidRPr="00A86E78">
              <w:rPr>
                <w:rFonts w:eastAsia="Times New Roman" w:cs="Times New Roman"/>
                <w:color w:val="000000"/>
                <w:sz w:val="20"/>
                <w:szCs w:val="20"/>
              </w:rPr>
              <w:t>%</w:t>
            </w:r>
          </w:p>
        </w:tc>
        <w:tc>
          <w:tcPr>
            <w:tcW w:w="674" w:type="pct"/>
            <w:tcBorders>
              <w:top w:val="nil"/>
              <w:left w:val="nil"/>
              <w:bottom w:val="single" w:sz="4" w:space="0" w:color="auto"/>
              <w:right w:val="single" w:sz="4" w:space="0" w:color="auto"/>
            </w:tcBorders>
            <w:noWrap/>
            <w:vAlign w:val="center"/>
            <w:hideMark/>
          </w:tcPr>
          <w:p w14:paraId="10619AFD"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3252</w:t>
            </w:r>
          </w:p>
        </w:tc>
        <w:tc>
          <w:tcPr>
            <w:tcW w:w="864" w:type="pct"/>
            <w:tcBorders>
              <w:top w:val="nil"/>
              <w:left w:val="nil"/>
              <w:bottom w:val="single" w:sz="4" w:space="0" w:color="auto"/>
              <w:right w:val="single" w:sz="4" w:space="0" w:color="auto"/>
            </w:tcBorders>
            <w:noWrap/>
            <w:vAlign w:val="center"/>
            <w:hideMark/>
          </w:tcPr>
          <w:p w14:paraId="0B83892C"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54.20</w:t>
            </w:r>
          </w:p>
        </w:tc>
      </w:tr>
      <w:tr w:rsidR="001613D2" w:rsidRPr="00A86E78" w14:paraId="189F5FB5" w14:textId="77777777" w:rsidTr="00B53A8B">
        <w:trPr>
          <w:trHeight w:val="29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2A04E3AE" w14:textId="77777777" w:rsidR="001613D2" w:rsidRPr="00A86E78" w:rsidRDefault="001613D2" w:rsidP="00B53A8B">
            <w:pPr>
              <w:spacing w:after="0"/>
              <w:rPr>
                <w:rFonts w:eastAsia="Times New Roman" w:cs="Times New Roman"/>
                <w:b/>
                <w:bCs/>
                <w:i/>
                <w:iCs/>
                <w:color w:val="000000"/>
                <w:sz w:val="20"/>
                <w:szCs w:val="20"/>
              </w:rPr>
            </w:pPr>
            <w:r w:rsidRPr="00A86E78">
              <w:rPr>
                <w:rFonts w:eastAsia="Times New Roman" w:cs="Times New Roman"/>
                <w:b/>
                <w:bCs/>
                <w:i/>
                <w:iCs/>
                <w:color w:val="000000"/>
                <w:sz w:val="20"/>
                <w:szCs w:val="20"/>
              </w:rPr>
              <w:t>Built Environment Factors</w:t>
            </w:r>
          </w:p>
        </w:tc>
      </w:tr>
      <w:tr w:rsidR="001613D2" w:rsidRPr="00A86E78" w14:paraId="4296B66C" w14:textId="77777777" w:rsidTr="00B53A8B">
        <w:trPr>
          <w:trHeight w:val="29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35275FE5"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Tourism ranking</w:t>
            </w:r>
          </w:p>
        </w:tc>
      </w:tr>
      <w:tr w:rsidR="001613D2" w:rsidRPr="00A86E78" w14:paraId="28D637EF"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2AE12C18"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Top 10</w:t>
            </w:r>
          </w:p>
        </w:tc>
        <w:tc>
          <w:tcPr>
            <w:tcW w:w="2598" w:type="pct"/>
            <w:tcBorders>
              <w:top w:val="nil"/>
              <w:left w:val="nil"/>
              <w:bottom w:val="single" w:sz="4" w:space="0" w:color="auto"/>
              <w:right w:val="single" w:sz="4" w:space="0" w:color="auto"/>
            </w:tcBorders>
            <w:noWrap/>
            <w:vAlign w:val="center"/>
            <w:hideMark/>
          </w:tcPr>
          <w:p w14:paraId="1B656CE9" w14:textId="47EFAE49"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 xml:space="preserve">Airport is located in </w:t>
            </w:r>
            <w:r w:rsidR="00280314">
              <w:rPr>
                <w:rFonts w:eastAsia="Times New Roman" w:cs="Times New Roman"/>
                <w:color w:val="000000"/>
                <w:sz w:val="20"/>
                <w:szCs w:val="20"/>
              </w:rPr>
              <w:t xml:space="preserve">the </w:t>
            </w:r>
            <w:r w:rsidRPr="00A86E78">
              <w:rPr>
                <w:rFonts w:eastAsia="Times New Roman" w:cs="Times New Roman"/>
                <w:color w:val="000000"/>
                <w:sz w:val="20"/>
                <w:szCs w:val="20"/>
              </w:rPr>
              <w:t>top 10 tourist attraction states</w:t>
            </w:r>
          </w:p>
        </w:tc>
        <w:tc>
          <w:tcPr>
            <w:tcW w:w="674" w:type="pct"/>
            <w:tcBorders>
              <w:top w:val="nil"/>
              <w:left w:val="nil"/>
              <w:bottom w:val="single" w:sz="4" w:space="0" w:color="auto"/>
              <w:right w:val="single" w:sz="4" w:space="0" w:color="auto"/>
            </w:tcBorders>
            <w:noWrap/>
            <w:vAlign w:val="center"/>
            <w:hideMark/>
          </w:tcPr>
          <w:p w14:paraId="1D0FF878"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1900</w:t>
            </w:r>
          </w:p>
        </w:tc>
        <w:tc>
          <w:tcPr>
            <w:tcW w:w="864" w:type="pct"/>
            <w:tcBorders>
              <w:top w:val="nil"/>
              <w:left w:val="nil"/>
              <w:bottom w:val="single" w:sz="4" w:space="0" w:color="auto"/>
              <w:right w:val="single" w:sz="4" w:space="0" w:color="auto"/>
            </w:tcBorders>
            <w:noWrap/>
            <w:vAlign w:val="center"/>
            <w:hideMark/>
          </w:tcPr>
          <w:p w14:paraId="08BBD48F"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31.67</w:t>
            </w:r>
          </w:p>
        </w:tc>
      </w:tr>
      <w:tr w:rsidR="001613D2" w:rsidRPr="00A86E78" w14:paraId="66DC14AD"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3D2C9854"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Other</w:t>
            </w:r>
          </w:p>
        </w:tc>
        <w:tc>
          <w:tcPr>
            <w:tcW w:w="2598" w:type="pct"/>
            <w:tcBorders>
              <w:top w:val="nil"/>
              <w:left w:val="nil"/>
              <w:bottom w:val="single" w:sz="4" w:space="0" w:color="auto"/>
              <w:right w:val="single" w:sz="4" w:space="0" w:color="auto"/>
            </w:tcBorders>
            <w:noWrap/>
            <w:vAlign w:val="center"/>
            <w:hideMark/>
          </w:tcPr>
          <w:p w14:paraId="72DC9372"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Airport is located in other states</w:t>
            </w:r>
          </w:p>
        </w:tc>
        <w:tc>
          <w:tcPr>
            <w:tcW w:w="674" w:type="pct"/>
            <w:tcBorders>
              <w:top w:val="nil"/>
              <w:left w:val="nil"/>
              <w:bottom w:val="single" w:sz="4" w:space="0" w:color="auto"/>
              <w:right w:val="single" w:sz="4" w:space="0" w:color="auto"/>
            </w:tcBorders>
            <w:noWrap/>
            <w:vAlign w:val="center"/>
            <w:hideMark/>
          </w:tcPr>
          <w:p w14:paraId="131180D1"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4100</w:t>
            </w:r>
          </w:p>
        </w:tc>
        <w:tc>
          <w:tcPr>
            <w:tcW w:w="864" w:type="pct"/>
            <w:tcBorders>
              <w:top w:val="nil"/>
              <w:left w:val="nil"/>
              <w:bottom w:val="single" w:sz="4" w:space="0" w:color="auto"/>
              <w:right w:val="single" w:sz="4" w:space="0" w:color="auto"/>
            </w:tcBorders>
            <w:noWrap/>
            <w:vAlign w:val="center"/>
            <w:hideMark/>
          </w:tcPr>
          <w:p w14:paraId="218783E8"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68.33</w:t>
            </w:r>
          </w:p>
        </w:tc>
      </w:tr>
      <w:tr w:rsidR="001613D2" w:rsidRPr="00A86E78" w14:paraId="63FA0A8E" w14:textId="77777777" w:rsidTr="00B53A8B">
        <w:trPr>
          <w:trHeight w:val="29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24120FEF" w14:textId="77777777" w:rsidR="001613D2" w:rsidRPr="00A86E78" w:rsidRDefault="001613D2" w:rsidP="00B53A8B">
            <w:pPr>
              <w:spacing w:after="0"/>
              <w:rPr>
                <w:rFonts w:eastAsia="Times New Roman" w:cs="Times New Roman"/>
                <w:b/>
                <w:bCs/>
                <w:i/>
                <w:iCs/>
                <w:color w:val="000000"/>
                <w:sz w:val="20"/>
                <w:szCs w:val="20"/>
              </w:rPr>
            </w:pPr>
            <w:r w:rsidRPr="00A86E78">
              <w:rPr>
                <w:rFonts w:eastAsia="Times New Roman" w:cs="Times New Roman"/>
                <w:b/>
                <w:bCs/>
                <w:i/>
                <w:iCs/>
                <w:color w:val="000000"/>
                <w:sz w:val="20"/>
                <w:szCs w:val="20"/>
              </w:rPr>
              <w:t>Spatial Factors</w:t>
            </w:r>
          </w:p>
        </w:tc>
      </w:tr>
      <w:tr w:rsidR="001613D2" w:rsidRPr="00A86E78" w14:paraId="18CEDF3C" w14:textId="77777777" w:rsidTr="00B53A8B">
        <w:trPr>
          <w:trHeight w:val="29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0A73D569"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 xml:space="preserve">Region </w:t>
            </w:r>
          </w:p>
        </w:tc>
      </w:tr>
      <w:tr w:rsidR="001613D2" w:rsidRPr="00A86E78" w14:paraId="06FED2F7"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5356BC37"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South</w:t>
            </w:r>
          </w:p>
        </w:tc>
        <w:tc>
          <w:tcPr>
            <w:tcW w:w="2598" w:type="pct"/>
            <w:tcBorders>
              <w:top w:val="nil"/>
              <w:left w:val="nil"/>
              <w:bottom w:val="single" w:sz="4" w:space="0" w:color="auto"/>
              <w:right w:val="single" w:sz="4" w:space="0" w:color="auto"/>
            </w:tcBorders>
            <w:noWrap/>
            <w:vAlign w:val="center"/>
            <w:hideMark/>
          </w:tcPr>
          <w:p w14:paraId="417F6565" w14:textId="2EE9884B"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 xml:space="preserve">Airport </w:t>
            </w:r>
            <w:r w:rsidR="00280314">
              <w:rPr>
                <w:rFonts w:eastAsia="Times New Roman" w:cs="Times New Roman"/>
                <w:color w:val="000000"/>
                <w:sz w:val="20"/>
                <w:szCs w:val="20"/>
              </w:rPr>
              <w:t xml:space="preserve">lies in the </w:t>
            </w:r>
            <w:r w:rsidRPr="00A86E78">
              <w:rPr>
                <w:rFonts w:eastAsia="Times New Roman" w:cs="Times New Roman"/>
                <w:color w:val="000000"/>
                <w:sz w:val="20"/>
                <w:szCs w:val="20"/>
              </w:rPr>
              <w:t>south region in the US</w:t>
            </w:r>
          </w:p>
        </w:tc>
        <w:tc>
          <w:tcPr>
            <w:tcW w:w="674" w:type="pct"/>
            <w:tcBorders>
              <w:top w:val="nil"/>
              <w:left w:val="nil"/>
              <w:bottom w:val="single" w:sz="4" w:space="0" w:color="auto"/>
              <w:right w:val="single" w:sz="4" w:space="0" w:color="auto"/>
            </w:tcBorders>
            <w:noWrap/>
            <w:vAlign w:val="center"/>
            <w:hideMark/>
          </w:tcPr>
          <w:p w14:paraId="4F619E3F"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2160</w:t>
            </w:r>
          </w:p>
        </w:tc>
        <w:tc>
          <w:tcPr>
            <w:tcW w:w="864" w:type="pct"/>
            <w:tcBorders>
              <w:top w:val="nil"/>
              <w:left w:val="nil"/>
              <w:bottom w:val="single" w:sz="4" w:space="0" w:color="auto"/>
              <w:right w:val="single" w:sz="4" w:space="0" w:color="auto"/>
            </w:tcBorders>
            <w:noWrap/>
            <w:vAlign w:val="center"/>
            <w:hideMark/>
          </w:tcPr>
          <w:p w14:paraId="6F00A675"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36.00</w:t>
            </w:r>
          </w:p>
        </w:tc>
      </w:tr>
      <w:tr w:rsidR="001613D2" w:rsidRPr="00A86E78" w14:paraId="43A36C9E"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78EFF5F7" w14:textId="64500334"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North-</w:t>
            </w:r>
            <w:r w:rsidR="004E1E01">
              <w:rPr>
                <w:rFonts w:eastAsia="Times New Roman" w:cs="Times New Roman"/>
                <w:color w:val="000000"/>
                <w:sz w:val="20"/>
                <w:szCs w:val="20"/>
              </w:rPr>
              <w:t>E</w:t>
            </w:r>
            <w:r w:rsidRPr="00A86E78">
              <w:rPr>
                <w:rFonts w:eastAsia="Times New Roman" w:cs="Times New Roman"/>
                <w:color w:val="000000"/>
                <w:sz w:val="20"/>
                <w:szCs w:val="20"/>
              </w:rPr>
              <w:t>ast</w:t>
            </w:r>
          </w:p>
        </w:tc>
        <w:tc>
          <w:tcPr>
            <w:tcW w:w="2598" w:type="pct"/>
            <w:tcBorders>
              <w:top w:val="nil"/>
              <w:left w:val="nil"/>
              <w:bottom w:val="single" w:sz="4" w:space="0" w:color="auto"/>
              <w:right w:val="single" w:sz="4" w:space="0" w:color="auto"/>
            </w:tcBorders>
            <w:noWrap/>
            <w:vAlign w:val="center"/>
            <w:hideMark/>
          </w:tcPr>
          <w:p w14:paraId="28BBF354" w14:textId="501E5FEA"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 xml:space="preserve">Airport </w:t>
            </w:r>
            <w:r w:rsidR="00781969">
              <w:rPr>
                <w:rFonts w:eastAsia="Times New Roman" w:cs="Times New Roman"/>
                <w:color w:val="000000"/>
                <w:sz w:val="20"/>
                <w:szCs w:val="20"/>
              </w:rPr>
              <w:t>lies in the</w:t>
            </w:r>
            <w:r w:rsidRPr="00A86E78">
              <w:rPr>
                <w:rFonts w:eastAsia="Times New Roman" w:cs="Times New Roman"/>
                <w:color w:val="000000"/>
                <w:sz w:val="20"/>
                <w:szCs w:val="20"/>
              </w:rPr>
              <w:t xml:space="preserve"> north-east region in the US</w:t>
            </w:r>
          </w:p>
        </w:tc>
        <w:tc>
          <w:tcPr>
            <w:tcW w:w="674" w:type="pct"/>
            <w:tcBorders>
              <w:top w:val="nil"/>
              <w:left w:val="nil"/>
              <w:bottom w:val="single" w:sz="4" w:space="0" w:color="auto"/>
              <w:right w:val="single" w:sz="4" w:space="0" w:color="auto"/>
            </w:tcBorders>
            <w:noWrap/>
            <w:vAlign w:val="center"/>
            <w:hideMark/>
          </w:tcPr>
          <w:p w14:paraId="4D7294E3"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660</w:t>
            </w:r>
          </w:p>
        </w:tc>
        <w:tc>
          <w:tcPr>
            <w:tcW w:w="864" w:type="pct"/>
            <w:tcBorders>
              <w:top w:val="nil"/>
              <w:left w:val="nil"/>
              <w:bottom w:val="single" w:sz="4" w:space="0" w:color="auto"/>
              <w:right w:val="single" w:sz="4" w:space="0" w:color="auto"/>
            </w:tcBorders>
            <w:noWrap/>
            <w:vAlign w:val="center"/>
            <w:hideMark/>
          </w:tcPr>
          <w:p w14:paraId="3FC6AB38"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11.00</w:t>
            </w:r>
          </w:p>
        </w:tc>
      </w:tr>
      <w:tr w:rsidR="001613D2" w:rsidRPr="00A86E78" w14:paraId="6989FE48"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6F8ACB1A"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West</w:t>
            </w:r>
          </w:p>
        </w:tc>
        <w:tc>
          <w:tcPr>
            <w:tcW w:w="2598" w:type="pct"/>
            <w:tcBorders>
              <w:top w:val="nil"/>
              <w:left w:val="nil"/>
              <w:bottom w:val="single" w:sz="4" w:space="0" w:color="auto"/>
              <w:right w:val="single" w:sz="4" w:space="0" w:color="auto"/>
            </w:tcBorders>
            <w:noWrap/>
            <w:vAlign w:val="center"/>
            <w:hideMark/>
          </w:tcPr>
          <w:p w14:paraId="3A9E9F41" w14:textId="385276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 xml:space="preserve">Airport </w:t>
            </w:r>
            <w:r w:rsidR="00781969">
              <w:rPr>
                <w:rFonts w:eastAsia="Times New Roman" w:cs="Times New Roman"/>
                <w:color w:val="000000"/>
                <w:sz w:val="20"/>
                <w:szCs w:val="20"/>
              </w:rPr>
              <w:t>lies in the</w:t>
            </w:r>
            <w:r w:rsidRPr="00A86E78">
              <w:rPr>
                <w:rFonts w:eastAsia="Times New Roman" w:cs="Times New Roman"/>
                <w:color w:val="000000"/>
                <w:sz w:val="20"/>
                <w:szCs w:val="20"/>
              </w:rPr>
              <w:t xml:space="preserve"> west region in the US</w:t>
            </w:r>
          </w:p>
        </w:tc>
        <w:tc>
          <w:tcPr>
            <w:tcW w:w="674" w:type="pct"/>
            <w:tcBorders>
              <w:top w:val="nil"/>
              <w:left w:val="nil"/>
              <w:bottom w:val="single" w:sz="4" w:space="0" w:color="auto"/>
              <w:right w:val="single" w:sz="4" w:space="0" w:color="auto"/>
            </w:tcBorders>
            <w:noWrap/>
            <w:vAlign w:val="center"/>
            <w:hideMark/>
          </w:tcPr>
          <w:p w14:paraId="72504F5C"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1500</w:t>
            </w:r>
          </w:p>
        </w:tc>
        <w:tc>
          <w:tcPr>
            <w:tcW w:w="864" w:type="pct"/>
            <w:tcBorders>
              <w:top w:val="nil"/>
              <w:left w:val="nil"/>
              <w:bottom w:val="single" w:sz="4" w:space="0" w:color="auto"/>
              <w:right w:val="single" w:sz="4" w:space="0" w:color="auto"/>
            </w:tcBorders>
            <w:noWrap/>
            <w:vAlign w:val="center"/>
            <w:hideMark/>
          </w:tcPr>
          <w:p w14:paraId="0E0178F5"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25.00</w:t>
            </w:r>
          </w:p>
        </w:tc>
      </w:tr>
      <w:tr w:rsidR="001613D2" w:rsidRPr="00A86E78" w14:paraId="6E745C01"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6DED0198" w14:textId="148E00A9"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Mid-</w:t>
            </w:r>
            <w:r w:rsidR="004E1E01">
              <w:rPr>
                <w:rFonts w:eastAsia="Times New Roman" w:cs="Times New Roman"/>
                <w:color w:val="000000"/>
                <w:sz w:val="20"/>
                <w:szCs w:val="20"/>
              </w:rPr>
              <w:t>W</w:t>
            </w:r>
            <w:r w:rsidRPr="00A86E78">
              <w:rPr>
                <w:rFonts w:eastAsia="Times New Roman" w:cs="Times New Roman"/>
                <w:color w:val="000000"/>
                <w:sz w:val="20"/>
                <w:szCs w:val="20"/>
              </w:rPr>
              <w:t>est</w:t>
            </w:r>
          </w:p>
        </w:tc>
        <w:tc>
          <w:tcPr>
            <w:tcW w:w="2598" w:type="pct"/>
            <w:tcBorders>
              <w:top w:val="nil"/>
              <w:left w:val="nil"/>
              <w:bottom w:val="single" w:sz="4" w:space="0" w:color="auto"/>
              <w:right w:val="single" w:sz="4" w:space="0" w:color="auto"/>
            </w:tcBorders>
            <w:noWrap/>
            <w:vAlign w:val="center"/>
            <w:hideMark/>
          </w:tcPr>
          <w:p w14:paraId="38632492" w14:textId="4E9780A1"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 xml:space="preserve">Airport </w:t>
            </w:r>
            <w:r w:rsidR="00781969">
              <w:rPr>
                <w:rFonts w:eastAsia="Times New Roman" w:cs="Times New Roman"/>
                <w:color w:val="000000"/>
                <w:sz w:val="20"/>
                <w:szCs w:val="20"/>
              </w:rPr>
              <w:t>lies in the</w:t>
            </w:r>
            <w:r w:rsidRPr="00A86E78">
              <w:rPr>
                <w:rFonts w:eastAsia="Times New Roman" w:cs="Times New Roman"/>
                <w:color w:val="000000"/>
                <w:sz w:val="20"/>
                <w:szCs w:val="20"/>
              </w:rPr>
              <w:t xml:space="preserve"> mid-west region in the US</w:t>
            </w:r>
          </w:p>
        </w:tc>
        <w:tc>
          <w:tcPr>
            <w:tcW w:w="674" w:type="pct"/>
            <w:tcBorders>
              <w:top w:val="nil"/>
              <w:left w:val="nil"/>
              <w:bottom w:val="single" w:sz="4" w:space="0" w:color="auto"/>
              <w:right w:val="single" w:sz="4" w:space="0" w:color="auto"/>
            </w:tcBorders>
            <w:noWrap/>
            <w:vAlign w:val="center"/>
            <w:hideMark/>
          </w:tcPr>
          <w:p w14:paraId="4E7ED4B9"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1340</w:t>
            </w:r>
          </w:p>
        </w:tc>
        <w:tc>
          <w:tcPr>
            <w:tcW w:w="864" w:type="pct"/>
            <w:tcBorders>
              <w:top w:val="nil"/>
              <w:left w:val="nil"/>
              <w:bottom w:val="single" w:sz="4" w:space="0" w:color="auto"/>
              <w:right w:val="single" w:sz="4" w:space="0" w:color="auto"/>
            </w:tcBorders>
            <w:noWrap/>
            <w:vAlign w:val="center"/>
            <w:hideMark/>
          </w:tcPr>
          <w:p w14:paraId="72B39552"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22.33</w:t>
            </w:r>
          </w:p>
        </w:tc>
      </w:tr>
      <w:tr w:rsidR="001613D2" w:rsidRPr="00A86E78" w14:paraId="501BA89F"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00FA7DE4"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Pacific</w:t>
            </w:r>
          </w:p>
        </w:tc>
        <w:tc>
          <w:tcPr>
            <w:tcW w:w="2598" w:type="pct"/>
            <w:tcBorders>
              <w:top w:val="nil"/>
              <w:left w:val="nil"/>
              <w:bottom w:val="single" w:sz="4" w:space="0" w:color="auto"/>
              <w:right w:val="single" w:sz="4" w:space="0" w:color="auto"/>
            </w:tcBorders>
            <w:noWrap/>
            <w:vAlign w:val="center"/>
            <w:hideMark/>
          </w:tcPr>
          <w:p w14:paraId="24BC3A1E" w14:textId="252E92AE"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 xml:space="preserve">Airport </w:t>
            </w:r>
            <w:r w:rsidR="00781969">
              <w:rPr>
                <w:rFonts w:eastAsia="Times New Roman" w:cs="Times New Roman"/>
                <w:color w:val="000000"/>
                <w:sz w:val="20"/>
                <w:szCs w:val="20"/>
              </w:rPr>
              <w:t>lies in the</w:t>
            </w:r>
            <w:r w:rsidRPr="00A86E78">
              <w:rPr>
                <w:rFonts w:eastAsia="Times New Roman" w:cs="Times New Roman"/>
                <w:color w:val="000000"/>
                <w:sz w:val="20"/>
                <w:szCs w:val="20"/>
              </w:rPr>
              <w:t xml:space="preserve"> pacific region in the US</w:t>
            </w:r>
          </w:p>
        </w:tc>
        <w:tc>
          <w:tcPr>
            <w:tcW w:w="674" w:type="pct"/>
            <w:tcBorders>
              <w:top w:val="nil"/>
              <w:left w:val="nil"/>
              <w:bottom w:val="single" w:sz="4" w:space="0" w:color="auto"/>
              <w:right w:val="single" w:sz="4" w:space="0" w:color="auto"/>
            </w:tcBorders>
            <w:noWrap/>
            <w:vAlign w:val="center"/>
            <w:hideMark/>
          </w:tcPr>
          <w:p w14:paraId="640E63C5"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340</w:t>
            </w:r>
          </w:p>
        </w:tc>
        <w:tc>
          <w:tcPr>
            <w:tcW w:w="864" w:type="pct"/>
            <w:tcBorders>
              <w:top w:val="nil"/>
              <w:left w:val="nil"/>
              <w:bottom w:val="single" w:sz="4" w:space="0" w:color="auto"/>
              <w:right w:val="single" w:sz="4" w:space="0" w:color="auto"/>
            </w:tcBorders>
            <w:noWrap/>
            <w:vAlign w:val="center"/>
            <w:hideMark/>
          </w:tcPr>
          <w:p w14:paraId="17165DDD"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5.67</w:t>
            </w:r>
          </w:p>
        </w:tc>
      </w:tr>
      <w:tr w:rsidR="001613D2" w:rsidRPr="00A86E78" w14:paraId="14228CC1" w14:textId="77777777" w:rsidTr="00B53A8B">
        <w:trPr>
          <w:trHeight w:val="29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5020C496" w14:textId="77777777" w:rsidR="001613D2" w:rsidRPr="00A86E78" w:rsidRDefault="001613D2" w:rsidP="00B53A8B">
            <w:pPr>
              <w:spacing w:after="0"/>
              <w:rPr>
                <w:rFonts w:eastAsia="Times New Roman" w:cs="Times New Roman"/>
                <w:b/>
                <w:bCs/>
                <w:i/>
                <w:iCs/>
                <w:color w:val="000000"/>
                <w:sz w:val="20"/>
                <w:szCs w:val="20"/>
              </w:rPr>
            </w:pPr>
            <w:r w:rsidRPr="00A86E78">
              <w:rPr>
                <w:rFonts w:eastAsia="Times New Roman" w:cs="Times New Roman"/>
                <w:b/>
                <w:bCs/>
                <w:i/>
                <w:iCs/>
                <w:color w:val="000000"/>
                <w:sz w:val="20"/>
                <w:szCs w:val="20"/>
              </w:rPr>
              <w:t>Temporal Factors</w:t>
            </w:r>
          </w:p>
        </w:tc>
      </w:tr>
      <w:tr w:rsidR="001613D2" w:rsidRPr="00A86E78" w14:paraId="4BCCE30C"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0C7E8EED"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Quarter 1</w:t>
            </w:r>
          </w:p>
        </w:tc>
        <w:tc>
          <w:tcPr>
            <w:tcW w:w="2598" w:type="pct"/>
            <w:tcBorders>
              <w:top w:val="nil"/>
              <w:left w:val="nil"/>
              <w:bottom w:val="single" w:sz="4" w:space="0" w:color="auto"/>
              <w:right w:val="single" w:sz="4" w:space="0" w:color="auto"/>
            </w:tcBorders>
            <w:noWrap/>
            <w:vAlign w:val="center"/>
            <w:hideMark/>
          </w:tcPr>
          <w:p w14:paraId="6E3DC029" w14:textId="06BDF029" w:rsidR="001613D2" w:rsidRPr="00A86E78" w:rsidRDefault="00781969" w:rsidP="00B53A8B">
            <w:pPr>
              <w:spacing w:after="0"/>
              <w:rPr>
                <w:rFonts w:eastAsia="Times New Roman" w:cs="Times New Roman"/>
                <w:color w:val="000000"/>
                <w:sz w:val="20"/>
                <w:szCs w:val="20"/>
              </w:rPr>
            </w:pPr>
            <w:r>
              <w:rPr>
                <w:rFonts w:eastAsia="Times New Roman" w:cs="Times New Roman"/>
                <w:color w:val="000000"/>
                <w:sz w:val="20"/>
                <w:szCs w:val="20"/>
              </w:rPr>
              <w:t xml:space="preserve">From </w:t>
            </w:r>
            <w:r w:rsidR="001613D2" w:rsidRPr="00A86E78">
              <w:rPr>
                <w:rFonts w:eastAsia="Times New Roman" w:cs="Times New Roman"/>
                <w:color w:val="000000"/>
                <w:sz w:val="20"/>
                <w:szCs w:val="20"/>
              </w:rPr>
              <w:t>January</w:t>
            </w:r>
            <w:r>
              <w:rPr>
                <w:rFonts w:eastAsia="Times New Roman" w:cs="Times New Roman"/>
                <w:color w:val="000000"/>
                <w:sz w:val="20"/>
                <w:szCs w:val="20"/>
              </w:rPr>
              <w:t xml:space="preserve"> to </w:t>
            </w:r>
            <w:r w:rsidR="001613D2" w:rsidRPr="00A86E78">
              <w:rPr>
                <w:rFonts w:eastAsia="Times New Roman" w:cs="Times New Roman"/>
                <w:color w:val="000000"/>
                <w:sz w:val="20"/>
                <w:szCs w:val="20"/>
              </w:rPr>
              <w:t>March</w:t>
            </w:r>
          </w:p>
        </w:tc>
        <w:tc>
          <w:tcPr>
            <w:tcW w:w="674" w:type="pct"/>
            <w:tcBorders>
              <w:top w:val="nil"/>
              <w:left w:val="nil"/>
              <w:bottom w:val="single" w:sz="4" w:space="0" w:color="auto"/>
              <w:right w:val="single" w:sz="4" w:space="0" w:color="auto"/>
            </w:tcBorders>
            <w:noWrap/>
            <w:vAlign w:val="center"/>
            <w:hideMark/>
          </w:tcPr>
          <w:p w14:paraId="5201C939"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1500</w:t>
            </w:r>
          </w:p>
        </w:tc>
        <w:tc>
          <w:tcPr>
            <w:tcW w:w="864" w:type="pct"/>
            <w:tcBorders>
              <w:top w:val="nil"/>
              <w:left w:val="nil"/>
              <w:bottom w:val="single" w:sz="4" w:space="0" w:color="auto"/>
              <w:right w:val="single" w:sz="4" w:space="0" w:color="auto"/>
            </w:tcBorders>
            <w:noWrap/>
            <w:vAlign w:val="center"/>
            <w:hideMark/>
          </w:tcPr>
          <w:p w14:paraId="299171F1"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25.00</w:t>
            </w:r>
          </w:p>
        </w:tc>
      </w:tr>
      <w:tr w:rsidR="001613D2" w:rsidRPr="00A86E78" w14:paraId="1F982838"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0E2F1B8E"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Quarter 2</w:t>
            </w:r>
          </w:p>
        </w:tc>
        <w:tc>
          <w:tcPr>
            <w:tcW w:w="2598" w:type="pct"/>
            <w:tcBorders>
              <w:top w:val="nil"/>
              <w:left w:val="nil"/>
              <w:bottom w:val="single" w:sz="4" w:space="0" w:color="auto"/>
              <w:right w:val="single" w:sz="4" w:space="0" w:color="auto"/>
            </w:tcBorders>
            <w:noWrap/>
            <w:vAlign w:val="center"/>
            <w:hideMark/>
          </w:tcPr>
          <w:p w14:paraId="4040C20B" w14:textId="3FB30B4B" w:rsidR="001613D2" w:rsidRPr="00A86E78" w:rsidRDefault="00781969" w:rsidP="00B53A8B">
            <w:pPr>
              <w:spacing w:after="0"/>
              <w:rPr>
                <w:rFonts w:eastAsia="Times New Roman" w:cs="Times New Roman"/>
                <w:color w:val="000000"/>
                <w:sz w:val="20"/>
                <w:szCs w:val="20"/>
              </w:rPr>
            </w:pPr>
            <w:r>
              <w:rPr>
                <w:rFonts w:eastAsia="Times New Roman" w:cs="Times New Roman"/>
                <w:color w:val="000000"/>
                <w:sz w:val="20"/>
                <w:szCs w:val="20"/>
              </w:rPr>
              <w:t xml:space="preserve">From </w:t>
            </w:r>
            <w:r w:rsidR="001613D2" w:rsidRPr="00A86E78">
              <w:rPr>
                <w:rFonts w:eastAsia="Times New Roman" w:cs="Times New Roman"/>
                <w:color w:val="000000"/>
                <w:sz w:val="20"/>
                <w:szCs w:val="20"/>
              </w:rPr>
              <w:t>April</w:t>
            </w:r>
            <w:r>
              <w:rPr>
                <w:rFonts w:eastAsia="Times New Roman" w:cs="Times New Roman"/>
                <w:color w:val="000000"/>
                <w:sz w:val="20"/>
                <w:szCs w:val="20"/>
              </w:rPr>
              <w:t xml:space="preserve"> to </w:t>
            </w:r>
            <w:r w:rsidR="001613D2" w:rsidRPr="00A86E78">
              <w:rPr>
                <w:rFonts w:eastAsia="Times New Roman" w:cs="Times New Roman"/>
                <w:color w:val="000000"/>
                <w:sz w:val="20"/>
                <w:szCs w:val="20"/>
              </w:rPr>
              <w:t>June</w:t>
            </w:r>
          </w:p>
        </w:tc>
        <w:tc>
          <w:tcPr>
            <w:tcW w:w="674" w:type="pct"/>
            <w:tcBorders>
              <w:top w:val="nil"/>
              <w:left w:val="nil"/>
              <w:bottom w:val="single" w:sz="4" w:space="0" w:color="auto"/>
              <w:right w:val="single" w:sz="4" w:space="0" w:color="auto"/>
            </w:tcBorders>
            <w:noWrap/>
            <w:vAlign w:val="center"/>
            <w:hideMark/>
          </w:tcPr>
          <w:p w14:paraId="0F610753"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1500</w:t>
            </w:r>
          </w:p>
        </w:tc>
        <w:tc>
          <w:tcPr>
            <w:tcW w:w="864" w:type="pct"/>
            <w:tcBorders>
              <w:top w:val="nil"/>
              <w:left w:val="nil"/>
              <w:bottom w:val="single" w:sz="4" w:space="0" w:color="auto"/>
              <w:right w:val="single" w:sz="4" w:space="0" w:color="auto"/>
            </w:tcBorders>
            <w:noWrap/>
            <w:vAlign w:val="center"/>
            <w:hideMark/>
          </w:tcPr>
          <w:p w14:paraId="1862C123"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25.00</w:t>
            </w:r>
          </w:p>
        </w:tc>
      </w:tr>
      <w:tr w:rsidR="001613D2" w:rsidRPr="00A86E78" w14:paraId="02034C20"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2B4BB148"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Quarter 3</w:t>
            </w:r>
          </w:p>
        </w:tc>
        <w:tc>
          <w:tcPr>
            <w:tcW w:w="2598" w:type="pct"/>
            <w:tcBorders>
              <w:top w:val="nil"/>
              <w:left w:val="nil"/>
              <w:bottom w:val="single" w:sz="4" w:space="0" w:color="auto"/>
              <w:right w:val="single" w:sz="4" w:space="0" w:color="auto"/>
            </w:tcBorders>
            <w:noWrap/>
            <w:vAlign w:val="center"/>
            <w:hideMark/>
          </w:tcPr>
          <w:p w14:paraId="11DCCED5" w14:textId="52C51124" w:rsidR="001613D2" w:rsidRPr="00A86E78" w:rsidRDefault="00781969" w:rsidP="00B53A8B">
            <w:pPr>
              <w:spacing w:after="0"/>
              <w:rPr>
                <w:rFonts w:eastAsia="Times New Roman" w:cs="Times New Roman"/>
                <w:color w:val="000000"/>
                <w:sz w:val="20"/>
                <w:szCs w:val="20"/>
              </w:rPr>
            </w:pPr>
            <w:r>
              <w:rPr>
                <w:rFonts w:eastAsia="Times New Roman" w:cs="Times New Roman"/>
                <w:color w:val="000000"/>
                <w:sz w:val="20"/>
                <w:szCs w:val="20"/>
              </w:rPr>
              <w:t xml:space="preserve">From </w:t>
            </w:r>
            <w:r w:rsidR="001613D2" w:rsidRPr="00A86E78">
              <w:rPr>
                <w:rFonts w:eastAsia="Times New Roman" w:cs="Times New Roman"/>
                <w:color w:val="000000"/>
                <w:sz w:val="20"/>
                <w:szCs w:val="20"/>
              </w:rPr>
              <w:t>July</w:t>
            </w:r>
            <w:r>
              <w:rPr>
                <w:rFonts w:eastAsia="Times New Roman" w:cs="Times New Roman"/>
                <w:color w:val="000000"/>
                <w:sz w:val="20"/>
                <w:szCs w:val="20"/>
              </w:rPr>
              <w:t xml:space="preserve"> to </w:t>
            </w:r>
            <w:r w:rsidR="001613D2" w:rsidRPr="00A86E78">
              <w:rPr>
                <w:rFonts w:eastAsia="Times New Roman" w:cs="Times New Roman"/>
                <w:color w:val="000000"/>
                <w:sz w:val="20"/>
                <w:szCs w:val="20"/>
              </w:rPr>
              <w:t>September</w:t>
            </w:r>
          </w:p>
        </w:tc>
        <w:tc>
          <w:tcPr>
            <w:tcW w:w="674" w:type="pct"/>
            <w:tcBorders>
              <w:top w:val="nil"/>
              <w:left w:val="nil"/>
              <w:bottom w:val="single" w:sz="4" w:space="0" w:color="auto"/>
              <w:right w:val="single" w:sz="4" w:space="0" w:color="auto"/>
            </w:tcBorders>
            <w:noWrap/>
            <w:vAlign w:val="center"/>
            <w:hideMark/>
          </w:tcPr>
          <w:p w14:paraId="5EF77348"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1500</w:t>
            </w:r>
          </w:p>
        </w:tc>
        <w:tc>
          <w:tcPr>
            <w:tcW w:w="864" w:type="pct"/>
            <w:tcBorders>
              <w:top w:val="nil"/>
              <w:left w:val="nil"/>
              <w:bottom w:val="single" w:sz="4" w:space="0" w:color="auto"/>
              <w:right w:val="single" w:sz="4" w:space="0" w:color="auto"/>
            </w:tcBorders>
            <w:noWrap/>
            <w:vAlign w:val="center"/>
            <w:hideMark/>
          </w:tcPr>
          <w:p w14:paraId="560E69F2"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25.00</w:t>
            </w:r>
          </w:p>
        </w:tc>
      </w:tr>
      <w:tr w:rsidR="001613D2" w:rsidRPr="00A86E78" w14:paraId="17F4256C" w14:textId="77777777" w:rsidTr="00B53A8B">
        <w:trPr>
          <w:trHeight w:val="290"/>
        </w:trPr>
        <w:tc>
          <w:tcPr>
            <w:tcW w:w="864" w:type="pct"/>
            <w:tcBorders>
              <w:top w:val="nil"/>
              <w:left w:val="single" w:sz="4" w:space="0" w:color="auto"/>
              <w:bottom w:val="single" w:sz="4" w:space="0" w:color="auto"/>
              <w:right w:val="single" w:sz="4" w:space="0" w:color="auto"/>
            </w:tcBorders>
            <w:noWrap/>
            <w:vAlign w:val="center"/>
            <w:hideMark/>
          </w:tcPr>
          <w:p w14:paraId="538C079E"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Quarter 4</w:t>
            </w:r>
          </w:p>
        </w:tc>
        <w:tc>
          <w:tcPr>
            <w:tcW w:w="2598" w:type="pct"/>
            <w:tcBorders>
              <w:top w:val="nil"/>
              <w:left w:val="nil"/>
              <w:bottom w:val="single" w:sz="4" w:space="0" w:color="auto"/>
              <w:right w:val="single" w:sz="4" w:space="0" w:color="auto"/>
            </w:tcBorders>
            <w:noWrap/>
            <w:vAlign w:val="center"/>
            <w:hideMark/>
          </w:tcPr>
          <w:p w14:paraId="3E0D27BF" w14:textId="6D2F6432" w:rsidR="001613D2" w:rsidRPr="00A86E78" w:rsidRDefault="00781969" w:rsidP="00B53A8B">
            <w:pPr>
              <w:spacing w:after="0"/>
              <w:rPr>
                <w:rFonts w:eastAsia="Times New Roman" w:cs="Times New Roman"/>
                <w:color w:val="000000"/>
                <w:sz w:val="20"/>
                <w:szCs w:val="20"/>
              </w:rPr>
            </w:pPr>
            <w:r>
              <w:rPr>
                <w:rFonts w:eastAsia="Times New Roman" w:cs="Times New Roman"/>
                <w:color w:val="000000"/>
                <w:sz w:val="20"/>
                <w:szCs w:val="20"/>
              </w:rPr>
              <w:t xml:space="preserve">From </w:t>
            </w:r>
            <w:r w:rsidR="001613D2" w:rsidRPr="00A86E78">
              <w:rPr>
                <w:rFonts w:eastAsia="Times New Roman" w:cs="Times New Roman"/>
                <w:color w:val="000000"/>
                <w:sz w:val="20"/>
                <w:szCs w:val="20"/>
              </w:rPr>
              <w:t>October</w:t>
            </w:r>
            <w:r>
              <w:rPr>
                <w:rFonts w:eastAsia="Times New Roman" w:cs="Times New Roman"/>
                <w:color w:val="000000"/>
                <w:sz w:val="20"/>
                <w:szCs w:val="20"/>
              </w:rPr>
              <w:t xml:space="preserve"> to </w:t>
            </w:r>
            <w:r w:rsidR="001613D2" w:rsidRPr="00A86E78">
              <w:rPr>
                <w:rFonts w:eastAsia="Times New Roman" w:cs="Times New Roman"/>
                <w:color w:val="000000"/>
                <w:sz w:val="20"/>
                <w:szCs w:val="20"/>
              </w:rPr>
              <w:t>December</w:t>
            </w:r>
          </w:p>
        </w:tc>
        <w:tc>
          <w:tcPr>
            <w:tcW w:w="674" w:type="pct"/>
            <w:tcBorders>
              <w:top w:val="nil"/>
              <w:left w:val="nil"/>
              <w:bottom w:val="single" w:sz="4" w:space="0" w:color="auto"/>
              <w:right w:val="single" w:sz="4" w:space="0" w:color="auto"/>
            </w:tcBorders>
            <w:noWrap/>
            <w:vAlign w:val="center"/>
            <w:hideMark/>
          </w:tcPr>
          <w:p w14:paraId="19BA91B9"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1500</w:t>
            </w:r>
          </w:p>
        </w:tc>
        <w:tc>
          <w:tcPr>
            <w:tcW w:w="864" w:type="pct"/>
            <w:tcBorders>
              <w:top w:val="nil"/>
              <w:left w:val="nil"/>
              <w:bottom w:val="single" w:sz="4" w:space="0" w:color="auto"/>
              <w:right w:val="single" w:sz="4" w:space="0" w:color="auto"/>
            </w:tcBorders>
            <w:noWrap/>
            <w:vAlign w:val="center"/>
            <w:hideMark/>
          </w:tcPr>
          <w:p w14:paraId="257516B0" w14:textId="77777777" w:rsidR="001613D2" w:rsidRPr="00A86E78" w:rsidRDefault="001613D2" w:rsidP="00B53A8B">
            <w:pPr>
              <w:spacing w:after="0"/>
              <w:rPr>
                <w:rFonts w:eastAsia="Times New Roman" w:cs="Times New Roman"/>
                <w:color w:val="000000"/>
                <w:sz w:val="20"/>
                <w:szCs w:val="20"/>
              </w:rPr>
            </w:pPr>
            <w:r w:rsidRPr="00A86E78">
              <w:rPr>
                <w:rFonts w:eastAsia="Times New Roman" w:cs="Times New Roman"/>
                <w:color w:val="000000"/>
                <w:sz w:val="20"/>
                <w:szCs w:val="20"/>
              </w:rPr>
              <w:t>25.00</w:t>
            </w:r>
          </w:p>
        </w:tc>
      </w:tr>
    </w:tbl>
    <w:p w14:paraId="167787F7" w14:textId="77777777" w:rsidR="00A86E78" w:rsidRPr="00A86E78" w:rsidRDefault="00A86E78" w:rsidP="002E717C">
      <w:pPr>
        <w:jc w:val="both"/>
        <w:rPr>
          <w:b/>
          <w:bCs/>
        </w:rPr>
      </w:pPr>
    </w:p>
    <w:p w14:paraId="5690CCA5" w14:textId="2AA6858E" w:rsidR="001E6C61" w:rsidRDefault="001E6C61" w:rsidP="001E6C61">
      <w:pPr>
        <w:pStyle w:val="Heading2"/>
      </w:pPr>
      <w:r>
        <w:t>Model Development</w:t>
      </w:r>
    </w:p>
    <w:p w14:paraId="546C02C0" w14:textId="43533632" w:rsidR="00645EDF" w:rsidRDefault="001E6C61">
      <w:pPr>
        <w:jc w:val="both"/>
      </w:pPr>
      <w:r>
        <w:t xml:space="preserve">The parameter estimates </w:t>
      </w:r>
      <w:r w:rsidR="00483380">
        <w:t>and</w:t>
      </w:r>
      <w:r>
        <w:t xml:space="preserve"> t</w:t>
      </w:r>
      <w:r w:rsidR="00483380">
        <w:t>-</w:t>
      </w:r>
      <w:r>
        <w:t>statistic</w:t>
      </w:r>
      <w:r w:rsidR="00483380">
        <w:t>s</w:t>
      </w:r>
      <w:r>
        <w:t xml:space="preserve"> (in parenthesis) from OL, GOL and MGOL model are presented in Table </w:t>
      </w:r>
      <w:r w:rsidR="00AE0B07">
        <w:t>3</w:t>
      </w:r>
      <w:r>
        <w:t xml:space="preserve">, Table </w:t>
      </w:r>
      <w:r w:rsidR="00AE0B07">
        <w:t>4</w:t>
      </w:r>
      <w:r w:rsidR="0093532D">
        <w:t>,</w:t>
      </w:r>
      <w:r>
        <w:t xml:space="preserve"> and Table </w:t>
      </w:r>
      <w:r w:rsidR="00AE0B07">
        <w:t>5</w:t>
      </w:r>
      <w:r>
        <w:t xml:space="preserve">, respectively. </w:t>
      </w:r>
      <w:r w:rsidR="0093532D">
        <w:t xml:space="preserve">To be consistent across the alternative models, we employ the formulation presented in Section 2.3. </w:t>
      </w:r>
      <w:r w:rsidR="004336AF">
        <w:t>W</w:t>
      </w:r>
      <w:r w:rsidR="0093532D">
        <w:t xml:space="preserve">e consider a constant in the demand propensity and set </w:t>
      </w:r>
      <w:r w:rsidR="004336AF">
        <w:t xml:space="preserve">the first </w:t>
      </w:r>
      <w:r w:rsidR="0093532D">
        <w:t xml:space="preserve">threshold </w:t>
      </w:r>
      <m:oMath>
        <m:sSub>
          <m:sSubPr>
            <m:ctrlPr>
              <w:rPr>
                <w:rFonts w:ascii="Cambria Math" w:hAnsi="Cambria Math"/>
                <w:i/>
                <w:szCs w:val="24"/>
              </w:rPr>
            </m:ctrlPr>
          </m:sSubPr>
          <m:e>
            <m:r>
              <w:rPr>
                <w:rFonts w:ascii="Cambria Math"/>
                <w:szCs w:val="24"/>
              </w:rPr>
              <m:t>τ</m:t>
            </m:r>
          </m:e>
          <m:sub>
            <m:r>
              <w:rPr>
                <w:rFonts w:ascii="Cambria Math"/>
                <w:szCs w:val="24"/>
              </w:rPr>
              <m:t>i,1</m:t>
            </m:r>
          </m:sub>
        </m:sSub>
        <m:r>
          <w:rPr>
            <w:rFonts w:ascii="Cambria Math" w:hAnsi="Cambria Math"/>
            <w:szCs w:val="24"/>
          </w:rPr>
          <m:t xml:space="preserve">=0. </m:t>
        </m:r>
      </m:oMath>
      <w:r w:rsidR="0092321B">
        <w:rPr>
          <w:rFonts w:eastAsiaTheme="minorEastAsia"/>
          <w:szCs w:val="24"/>
        </w:rPr>
        <w:t xml:space="preserve">The model </w:t>
      </w:r>
      <w:r w:rsidR="00972277">
        <w:rPr>
          <w:rFonts w:eastAsiaTheme="minorEastAsia"/>
          <w:szCs w:val="24"/>
        </w:rPr>
        <w:t xml:space="preserve">specification </w:t>
      </w:r>
      <w:r w:rsidR="0092321B">
        <w:rPr>
          <w:rFonts w:eastAsiaTheme="minorEastAsia"/>
          <w:szCs w:val="24"/>
        </w:rPr>
        <w:t xml:space="preserve">begins with the estimation of an OL model. Subsequently, a GOL model is estimated allowing for additional parameters in the thresholds. Finally, a MGOL model is estimated where </w:t>
      </w:r>
      <w:r w:rsidR="00CC0005">
        <w:rPr>
          <w:rFonts w:eastAsiaTheme="minorEastAsia"/>
          <w:szCs w:val="24"/>
        </w:rPr>
        <w:t xml:space="preserve">the parameters are </w:t>
      </w:r>
      <w:r w:rsidR="0002517E">
        <w:rPr>
          <w:rFonts w:eastAsiaTheme="minorEastAsia"/>
          <w:szCs w:val="24"/>
        </w:rPr>
        <w:t xml:space="preserve">more flexible as they are allowed </w:t>
      </w:r>
      <w:r w:rsidR="00CC0005">
        <w:rPr>
          <w:rFonts w:eastAsiaTheme="minorEastAsia"/>
          <w:szCs w:val="24"/>
        </w:rPr>
        <w:t>to vary across observations through random parameters or unobserved factors impact accommodated at the airport level (random parameter for the constant). In our estimation process</w:t>
      </w:r>
      <w:r w:rsidR="00D020E1">
        <w:rPr>
          <w:rFonts w:eastAsiaTheme="minorEastAsia"/>
          <w:szCs w:val="24"/>
        </w:rPr>
        <w:t>,</w:t>
      </w:r>
      <w:r w:rsidR="00CC0005">
        <w:rPr>
          <w:rFonts w:eastAsiaTheme="minorEastAsia"/>
          <w:szCs w:val="24"/>
        </w:rPr>
        <w:t xml:space="preserve"> the OL model with 11 parameters </w:t>
      </w:r>
      <w:r w:rsidR="00D020E1">
        <w:rPr>
          <w:rFonts w:eastAsiaTheme="minorEastAsia"/>
          <w:szCs w:val="24"/>
        </w:rPr>
        <w:t>offered the best fit with a LL value of -934</w:t>
      </w:r>
      <w:r w:rsidR="00C46A79">
        <w:rPr>
          <w:rFonts w:eastAsiaTheme="minorEastAsia"/>
          <w:szCs w:val="24"/>
        </w:rPr>
        <w:t>7</w:t>
      </w:r>
      <w:r w:rsidR="00D020E1">
        <w:rPr>
          <w:rFonts w:eastAsiaTheme="minorEastAsia"/>
          <w:szCs w:val="24"/>
        </w:rPr>
        <w:t>. The GOL model with 13 parameters offered the best fit with a LL value of -8405</w:t>
      </w:r>
      <w:r w:rsidR="00B53453">
        <w:rPr>
          <w:rFonts w:eastAsiaTheme="minorEastAsia"/>
          <w:szCs w:val="24"/>
        </w:rPr>
        <w:t xml:space="preserve">. </w:t>
      </w:r>
      <w:r w:rsidR="009125BE">
        <w:rPr>
          <w:rFonts w:eastAsiaTheme="minorEastAsia"/>
          <w:szCs w:val="24"/>
        </w:rPr>
        <w:t xml:space="preserve">The improvement in GOL model can be attributed to the two additional threshold variables for the </w:t>
      </w:r>
      <w:r w:rsidR="009F2EA7">
        <w:rPr>
          <w:rFonts w:eastAsiaTheme="minorEastAsia"/>
          <w:szCs w:val="24"/>
        </w:rPr>
        <w:t xml:space="preserve">population variable. The additional degrees of freedom allowed within the GOL framework allows for improving the model flexibility. </w:t>
      </w:r>
      <w:r w:rsidR="00B53453">
        <w:rPr>
          <w:rFonts w:eastAsiaTheme="minorEastAsia"/>
          <w:szCs w:val="24"/>
        </w:rPr>
        <w:t>Finally, the MGOL model with 1</w:t>
      </w:r>
      <w:r w:rsidR="00C30A7F">
        <w:rPr>
          <w:rFonts w:eastAsiaTheme="minorEastAsia"/>
          <w:szCs w:val="24"/>
        </w:rPr>
        <w:t>3</w:t>
      </w:r>
      <w:r w:rsidR="00B53453">
        <w:rPr>
          <w:rFonts w:eastAsiaTheme="minorEastAsia"/>
          <w:szCs w:val="24"/>
        </w:rPr>
        <w:t xml:space="preserve"> parameters offered the best with a LL value</w:t>
      </w:r>
      <w:r w:rsidR="00D020E1">
        <w:rPr>
          <w:rFonts w:eastAsiaTheme="minorEastAsia"/>
          <w:szCs w:val="24"/>
        </w:rPr>
        <w:t xml:space="preserve"> </w:t>
      </w:r>
      <w:r w:rsidR="00B53453">
        <w:rPr>
          <w:rFonts w:eastAsiaTheme="minorEastAsia"/>
          <w:szCs w:val="24"/>
        </w:rPr>
        <w:t>of -740</w:t>
      </w:r>
      <w:r w:rsidR="00C30A7F">
        <w:rPr>
          <w:rFonts w:eastAsiaTheme="minorEastAsia"/>
          <w:szCs w:val="24"/>
        </w:rPr>
        <w:t>8</w:t>
      </w:r>
      <w:r w:rsidR="009125BE">
        <w:rPr>
          <w:rFonts w:eastAsiaTheme="minorEastAsia"/>
          <w:szCs w:val="24"/>
        </w:rPr>
        <w:t>.</w:t>
      </w:r>
      <w:r w:rsidR="0092321B">
        <w:rPr>
          <w:rFonts w:eastAsiaTheme="minorEastAsia"/>
          <w:szCs w:val="24"/>
        </w:rPr>
        <w:t xml:space="preserve"> </w:t>
      </w:r>
      <w:r w:rsidR="009F2EA7">
        <w:rPr>
          <w:rFonts w:eastAsiaTheme="minorEastAsia"/>
          <w:szCs w:val="24"/>
        </w:rPr>
        <w:t xml:space="preserve">The improvement in the MGOL model can be attributed to the random effect estimated for the population variable. For sake of completeness, we also computed the Bayesian Information Criterion (BIC) values. </w:t>
      </w:r>
      <w:r w:rsidR="00EC4F69">
        <w:rPr>
          <w:rFonts w:eastAsiaTheme="minorEastAsia"/>
          <w:szCs w:val="24"/>
        </w:rPr>
        <w:t xml:space="preserve">The BIC </w:t>
      </w:r>
      <w:r w:rsidR="0002517E">
        <w:rPr>
          <w:rFonts w:eastAsiaTheme="minorEastAsia"/>
          <w:szCs w:val="24"/>
        </w:rPr>
        <w:t xml:space="preserve">measures </w:t>
      </w:r>
      <w:r w:rsidR="00EC4F69">
        <w:rPr>
          <w:rFonts w:eastAsiaTheme="minorEastAsia"/>
          <w:szCs w:val="24"/>
        </w:rPr>
        <w:t>for the three models are: OL 187</w:t>
      </w:r>
      <w:r w:rsidR="00070323">
        <w:rPr>
          <w:rFonts w:eastAsiaTheme="minorEastAsia"/>
          <w:szCs w:val="24"/>
        </w:rPr>
        <w:t>8</w:t>
      </w:r>
      <w:r w:rsidR="00EC4F69">
        <w:rPr>
          <w:rFonts w:eastAsiaTheme="minorEastAsia"/>
          <w:szCs w:val="24"/>
        </w:rPr>
        <w:t>9, GOL 1692</w:t>
      </w:r>
      <w:r w:rsidR="00070323">
        <w:rPr>
          <w:rFonts w:eastAsiaTheme="minorEastAsia"/>
          <w:szCs w:val="24"/>
        </w:rPr>
        <w:t>4</w:t>
      </w:r>
      <w:r w:rsidR="00EC4F69">
        <w:rPr>
          <w:rFonts w:eastAsiaTheme="minorEastAsia"/>
          <w:szCs w:val="24"/>
        </w:rPr>
        <w:t xml:space="preserve"> and MGOL 1492</w:t>
      </w:r>
      <w:r w:rsidR="00C30A7F">
        <w:rPr>
          <w:rFonts w:eastAsiaTheme="minorEastAsia"/>
          <w:szCs w:val="24"/>
        </w:rPr>
        <w:t>9</w:t>
      </w:r>
      <w:r w:rsidR="00070323">
        <w:rPr>
          <w:rFonts w:eastAsiaTheme="minorEastAsia"/>
          <w:szCs w:val="24"/>
        </w:rPr>
        <w:t xml:space="preserve">. Clearly, the BIC values confirm that the MGOL model offers a superior fit for our data. </w:t>
      </w:r>
      <w:r w:rsidR="00AA2D51">
        <w:t>W</w:t>
      </w:r>
      <w:r w:rsidR="00EE680D">
        <w:t xml:space="preserve">e will only discuss the results for MGOL model in this </w:t>
      </w:r>
      <w:r w:rsidR="00645EDF">
        <w:t>chapter</w:t>
      </w:r>
      <w:r w:rsidR="00731339">
        <w:t xml:space="preserve">. </w:t>
      </w:r>
    </w:p>
    <w:p w14:paraId="7554786A" w14:textId="571249C3" w:rsidR="00645EDF" w:rsidRDefault="00645EDF" w:rsidP="00E92707">
      <w:pPr>
        <w:pStyle w:val="Heading2"/>
      </w:pPr>
      <w:r>
        <w:t>MGOL Model Results</w:t>
      </w:r>
    </w:p>
    <w:p w14:paraId="6806D958" w14:textId="6A52F660" w:rsidR="00F12C28" w:rsidRDefault="00645EDF" w:rsidP="00877C5D">
      <w:pPr>
        <w:jc w:val="both"/>
      </w:pPr>
      <w:r>
        <w:t xml:space="preserve">The results from the MGOL model are </w:t>
      </w:r>
      <w:r w:rsidR="00AA2D51">
        <w:t xml:space="preserve">shown </w:t>
      </w:r>
      <w:r>
        <w:t xml:space="preserve">in Table </w:t>
      </w:r>
      <w:r w:rsidR="00AE0B07">
        <w:t>5</w:t>
      </w:r>
      <w:r>
        <w:t xml:space="preserve">. </w:t>
      </w:r>
      <w:r w:rsidR="00731339">
        <w:t xml:space="preserve">Positive (negative) value of a propensity parameter </w:t>
      </w:r>
      <w:r w:rsidR="00731339" w:rsidRPr="00281473">
        <w:t>(</w:t>
      </w:r>
      <m:oMath>
        <m:r>
          <w:rPr>
            <w:rFonts w:ascii="Cambria Math"/>
            <w:szCs w:val="24"/>
          </w:rPr>
          <m:t>β</m:t>
        </m:r>
      </m:oMath>
      <w:r w:rsidR="00731339" w:rsidRPr="00281473">
        <w:t xml:space="preserve">) </w:t>
      </w:r>
      <w:r w:rsidR="00731339">
        <w:t>indicates that an increase of the variable increases (decreases) the propensity of higher outcome levels. The threshold parameters (</w:t>
      </w:r>
      <m:oMath>
        <m:r>
          <w:rPr>
            <w:rFonts w:ascii="Cambria Math" w:hAnsi="Cambria Math"/>
            <w:szCs w:val="24"/>
          </w:rPr>
          <m:t>δ</m:t>
        </m:r>
      </m:oMath>
      <w:r w:rsidR="00731339">
        <w:t>) indicate shifting of thresholds depending on sign of the parameters. Positive (negative) value of a threshold parameter</w:t>
      </w:r>
      <w:r w:rsidR="003A0877">
        <w:t xml:space="preserve"> indicates that an increase</w:t>
      </w:r>
      <w:r w:rsidR="005A678F">
        <w:t xml:space="preserve"> </w:t>
      </w:r>
      <w:r w:rsidR="003A0877">
        <w:t>of the variable</w:t>
      </w:r>
      <w:r w:rsidR="00731339">
        <w:t xml:space="preserve"> </w:t>
      </w:r>
      <w:r w:rsidR="005A678F">
        <w:t xml:space="preserve">shifts </w:t>
      </w:r>
      <w:r w:rsidR="00731339">
        <w:t>the threshold</w:t>
      </w:r>
      <w:r w:rsidR="003A0877">
        <w:t xml:space="preserve"> </w:t>
      </w:r>
      <w:r w:rsidR="00731339">
        <w:t xml:space="preserve">to the right (left). For threshold formulation presented in equation </w:t>
      </w:r>
      <w:r w:rsidR="00C563F6">
        <w:t>(9)</w:t>
      </w:r>
      <w:r w:rsidR="00731339">
        <w:t xml:space="preserve">, an increase (decrease) of a threshold increases (decreases) the probability of the alternative immediately </w:t>
      </w:r>
      <w:r w:rsidR="00D10263">
        <w:t xml:space="preserve">to the </w:t>
      </w:r>
      <w:r w:rsidR="00731339">
        <w:t xml:space="preserve">left </w:t>
      </w:r>
      <w:r w:rsidR="00D10263">
        <w:t xml:space="preserve">of </w:t>
      </w:r>
      <w:r w:rsidR="00731339">
        <w:t xml:space="preserve">the threshold and decreases (increases) the probability of alternatives </w:t>
      </w:r>
      <w:r w:rsidR="005A678F">
        <w:t xml:space="preserve">to the </w:t>
      </w:r>
      <w:r w:rsidR="00731339">
        <w:t xml:space="preserve">right </w:t>
      </w:r>
      <w:r w:rsidR="005A678F">
        <w:t>of</w:t>
      </w:r>
      <w:r w:rsidR="00D10263">
        <w:t xml:space="preserve"> </w:t>
      </w:r>
      <w:r w:rsidR="00731339">
        <w:t xml:space="preserve">the threshold.  In the following sections, </w:t>
      </w:r>
      <w:r w:rsidR="005D0DEE">
        <w:t xml:space="preserve">we </w:t>
      </w:r>
      <w:r w:rsidR="00B231AA">
        <w:t>discuss the results fr</w:t>
      </w:r>
      <w:r w:rsidR="00E36C86">
        <w:t>om</w:t>
      </w:r>
      <w:r w:rsidR="00B231AA">
        <w:t xml:space="preserve"> MGOL model</w:t>
      </w:r>
      <w:r w:rsidR="00E36C86">
        <w:t xml:space="preserve"> </w:t>
      </w:r>
      <w:r w:rsidR="008778C2">
        <w:t>by variable group</w:t>
      </w:r>
      <w:r w:rsidR="00E36C86">
        <w:t>.</w:t>
      </w:r>
    </w:p>
    <w:p w14:paraId="7644D585" w14:textId="2864563E" w:rsidR="00F12C28" w:rsidRDefault="00D65105" w:rsidP="00C80F9A">
      <w:pPr>
        <w:pStyle w:val="Heading3"/>
      </w:pPr>
      <w:r>
        <w:t>Socio-</w:t>
      </w:r>
      <w:r w:rsidR="00F12C28">
        <w:t xml:space="preserve">Demographic </w:t>
      </w:r>
      <w:r w:rsidR="00B231AA">
        <w:t>Characteristics</w:t>
      </w:r>
    </w:p>
    <w:p w14:paraId="2CEA9AF2" w14:textId="0AFDE8D2" w:rsidR="009C4382" w:rsidRDefault="00F12C28" w:rsidP="0062550B">
      <w:pPr>
        <w:jc w:val="both"/>
      </w:pPr>
      <w:r w:rsidRPr="00F12C28">
        <w:t xml:space="preserve">Among the </w:t>
      </w:r>
      <w:r w:rsidR="00D65105">
        <w:t>socio-</w:t>
      </w:r>
      <w:r w:rsidRPr="00F12C28">
        <w:t xml:space="preserve">demographic characteristics considered, </w:t>
      </w:r>
      <w:r w:rsidR="009D7D7F">
        <w:t xml:space="preserve">MSA specific </w:t>
      </w:r>
      <w:r w:rsidRPr="00F12C28">
        <w:t>population</w:t>
      </w:r>
      <w:r w:rsidR="009D7D7F">
        <w:t xml:space="preserve">, </w:t>
      </w:r>
      <w:r w:rsidRPr="00F12C28">
        <w:t xml:space="preserve">median income </w:t>
      </w:r>
      <w:r w:rsidR="009D7D7F">
        <w:t xml:space="preserve">and education status </w:t>
      </w:r>
      <w:r w:rsidR="00ED2EC4">
        <w:t xml:space="preserve">are found to have significant </w:t>
      </w:r>
      <w:r w:rsidR="001A1091">
        <w:t>impact on</w:t>
      </w:r>
      <w:r w:rsidRPr="00F12C28">
        <w:t xml:space="preserve"> the </w:t>
      </w:r>
      <w:r w:rsidR="00394FD9">
        <w:t>airport level</w:t>
      </w:r>
      <w:r w:rsidRPr="00F12C28">
        <w:t xml:space="preserve"> demand</w:t>
      </w:r>
      <w:r w:rsidR="00D65105">
        <w:t xml:space="preserve"> variable</w:t>
      </w:r>
      <w:r w:rsidRPr="00F12C28">
        <w:t xml:space="preserve">. </w:t>
      </w:r>
      <w:r w:rsidR="00A848F0">
        <w:t>T</w:t>
      </w:r>
      <w:r>
        <w:t>he results</w:t>
      </w:r>
      <w:r w:rsidR="00A848F0">
        <w:t xml:space="preserve"> suggest that</w:t>
      </w:r>
      <w:r w:rsidRPr="00F12C28">
        <w:t xml:space="preserve"> population </w:t>
      </w:r>
      <w:r w:rsidR="000D3980">
        <w:t>in the corresponding MSA</w:t>
      </w:r>
      <w:r w:rsidRPr="00F12C28">
        <w:t xml:space="preserve"> </w:t>
      </w:r>
      <w:r w:rsidR="00394FD9">
        <w:t xml:space="preserve">significantly </w:t>
      </w:r>
      <w:r w:rsidR="007B75D2">
        <w:t>influences air</w:t>
      </w:r>
      <w:r w:rsidR="0027030C">
        <w:t xml:space="preserve"> passenger</w:t>
      </w:r>
      <w:r w:rsidR="007B75D2">
        <w:t xml:space="preserve"> demand</w:t>
      </w:r>
      <w:r w:rsidR="0027030C">
        <w:t xml:space="preserve"> at </w:t>
      </w:r>
      <w:r w:rsidR="001A1091">
        <w:t>US</w:t>
      </w:r>
      <w:r w:rsidR="0027030C">
        <w:t xml:space="preserve"> airport</w:t>
      </w:r>
      <w:r w:rsidR="001A1091">
        <w:t>s</w:t>
      </w:r>
      <w:r>
        <w:t>.</w:t>
      </w:r>
      <w:r w:rsidRPr="00F12C28">
        <w:t xml:space="preserve"> </w:t>
      </w:r>
      <w:r w:rsidR="0062550B">
        <w:t xml:space="preserve">As expected, it is found that an </w:t>
      </w:r>
      <w:r w:rsidR="007B75D2">
        <w:t>increase</w:t>
      </w:r>
      <w:r w:rsidR="0062550B">
        <w:t xml:space="preserve"> in</w:t>
      </w:r>
      <w:r w:rsidR="007B75D2">
        <w:t xml:space="preserve"> population </w:t>
      </w:r>
      <w:r w:rsidR="00B6265F">
        <w:t xml:space="preserve">is associated with an increase in </w:t>
      </w:r>
      <w:r w:rsidR="00004C62">
        <w:t xml:space="preserve">the propensity of </w:t>
      </w:r>
      <w:r w:rsidR="007B75D2">
        <w:t>airline demand</w:t>
      </w:r>
      <w:r w:rsidR="005A54E9">
        <w:t xml:space="preserve"> </w:t>
      </w:r>
      <w:r w:rsidR="006241B8">
        <w:t xml:space="preserve">(see </w:t>
      </w:r>
      <w:r w:rsidR="00967388">
        <w:fldChar w:fldCharType="begin" w:fldLock="1"/>
      </w:r>
      <w:r w:rsidR="002126A5">
        <w:instrText>ADDIN CSL_CITATION {"citationItems":[{"id":"ITEM-1","itemData":{"DOI":"10.1016/j.jairtraman.2018.05.001","ISSN":"09696997","abstract":"The aviation industry in Western Australia (WA) plays a vital role in the economic and social development of the state. However, accurate forecasts for passenger movements are not available to policy makers due to lack of relevant air travel demand information. The objective of this study is to estimate the domestic air passenger seat numbers between airport-pairs based on online flight information in regional WA based on a gravity model using Poisson pseudo-maximum likelihood estimation (PPML). Particularly, we aim to investigate the impact of distance, airfare, catchment areas, population, tourism and mining sector on forecasting air passenger seat numbers in order to inform and guide policy making. This research collected appropriate data and produced valid models that represent air passenger seat numbers offered on regular public transport (RPT) air services in regional WA. The models consider both geographic and service-related variables, such as the catchment area of airports, population and number of tourists in the airport's catchment area. Two kinds of airport catchment areas are generated in this study, based on Thiessen polygon and two and half hours’ driving distance. The Thiessen polygon catchment areas cover the whole WA regions, while the 2.5 h's driving catchment area covers only 32 percent of the WA region. The size of the catchment area can affect the magnitude of factors, and therefore influence the modelling results. When deciding the catchment area for the study, it is important to take the spatial distribution of factors into considerations. For both Thiessen polygon and two and half hours’ driving distance catchment area, the model results illustrate that distance between airports, airfare of the flight, population of the origin airport's catchment area and the number of operating mine sites of the destination airport's catchment area are significantly correlated with domestic air travel seat capacity provided. Given the guidance from policy documents and policy makers, the results will improve the understanding of the key parameters of regional passenger aviation services and help to guide policy makers considering regional passenger aviation issues. The outcome of this study would be useful for and guide policy development.","author":[{"dropping-particle":"","family":"Zhou","given":"Heng","non-dropping-particle":"","parse-names":false,"suffix":""},{"dropping-particle":"","family":"Xia","given":"Jianhong (Cecilia)","non-dropping-particle":"","parse-names":false,"suffix":""},{"dropping-particle":"","family":"Luo","given":"Qingzhou","non-dropping-particle":"","parse-names":false,"suffix":""},{"dropping-particle":"","family":"Nikolova","given":"Gabi","non-dropping-particle":"","parse-names":false,"suffix":""},{"dropping-particle":"","family":"Sun","given":"Jie","non-dropping-particle":"","parse-names":false,"suffix":""},{"dropping-particle":"","family":"Hughes","given":"Brett","non-dropping-particle":"","parse-names":false,"suffix":""},{"dropping-particle":"","family":"Kelobonye","given":"Keone","non-dropping-particle":"","parse-names":false,"suffix":""},{"dropping-particle":"","family":"Wang","given":"Hui","non-dropping-particle":"","parse-names":false,"suffix":""},{"dropping-particle":"","family":"Falkmer","given":"Torbjorn","non-dropping-particle":"","parse-names":false,"suffix":""}],"container-title":"Journal of Air Transport Management","id":"ITEM-1","issue":"May","issued":{"date-parts":[["2018"]]},"page":"91-103","publisher":"Elsevier Ltd","title":"Investigating the impact of catchment areas of airports on estimating air travel demand: A case study of regional Western Australia","type":"article-journal","volume":"70"},"uris":["http://www.mendeley.com/documents/?uuid=6cdd5006-a5ff-43fb-804f-a44e120fd10a"]}],"mendeley":{"formattedCitation":"(Zhou et al. 2018)","manualFormatting":"Zhou et al. 2018","plainTextFormattedCitation":"(Zhou et al. 2018)","previouslyFormattedCitation":"(Zhou et al. 2018)"},"properties":{"noteIndex":0},"schema":"https://github.com/citation-style-language/schema/raw/master/csl-citation.json"}</w:instrText>
      </w:r>
      <w:r w:rsidR="00967388">
        <w:fldChar w:fldCharType="separate"/>
      </w:r>
      <w:r w:rsidR="00967388" w:rsidRPr="00967388">
        <w:rPr>
          <w:noProof/>
        </w:rPr>
        <w:t>Zhou et al. 2018</w:t>
      </w:r>
      <w:r w:rsidR="00967388">
        <w:fldChar w:fldCharType="end"/>
      </w:r>
      <w:r w:rsidR="00967388">
        <w:t>;</w:t>
      </w:r>
      <w:r w:rsidR="003B3A24">
        <w:t xml:space="preserve"> </w:t>
      </w:r>
      <w:r w:rsidR="003B3A24">
        <w:fldChar w:fldCharType="begin" w:fldLock="1"/>
      </w:r>
      <w:r w:rsidR="002126A5">
        <w:instrText>ADDIN CSL_CITATION {"citationItems":[{"id":"ITEM-1","itemData":{"DOI":"10.1016/j.tra.2022.03.014","ISSN":"09658564","abstract":"In this study, we examine the influence of Coronavirus disease 2019 (COVID-19) on airline demand at the disaggregate resolution of airport. The primary focus of our proposed research effort is to develop a framework that provides a blueprint for airline demand recovery as COVID-19 cases evolve over time. Airline monthly demand data is sourced from Bureau of Transportation Statistics for 380 airports for 24 months from January 2019 through December 2020. The demand data is augmented with a host of independent variables including COVID-19 related factors, demographic characteristics and built environment characteristics at the county level, airport specific factors, spatial factors, temporal factors, and adjoining county attributes. The effect of COVID-19 related factors is identified by considering global and local COVID-19 transmission, temporal indicators of pandemic start and progress, and interactions of airline demand predictors with global and local COVID-19 indicators. Finally, we present a blueprint for airline demand recovery where we consider three hypothetical scenarios of COVID-19 transmission rates – expected, pessimistic and optimistic. The results at the airport level from these scenarios are aggregated at the state or regional level by adding the demand from all airports in the corresponding state or region. These trends are presented by State and Region to illustrate potential differences across various scenarios. The results highlight a potentially slow path to airline demand recovery until COVID-19 cases subside.","author":[{"dropping-particle":"","family":"Dey Tirtha","given":"Sudipta","non-dropping-particle":"","parse-names":false,"suffix":""},{"dropping-particle":"","family":"Bhowmik","given":"Tanmoy","non-dropping-particle":"","parse-names":false,"suffix":""},{"dropping-particle":"","family":"Eluru","given":"Naveen","non-dropping-particle":"","parse-names":false,"suffix":""}],"container-title":"Transportation Research Part A: Policy and Practice","id":"ITEM-1","issue":"March","issued":{"date-parts":[["2022"]]},"page":"169-181","publisher":"Elsevier Ltd","title":"An airport level framework for examining the impact of COVID-19 on airline demand","type":"article-journal","volume":"159"},"uris":["http://www.mendeley.com/documents/?uuid=f1c264ea-4873-47b6-b94f-819a1b38cfbb"]}],"mendeley":{"formattedCitation":"(Dey Tirtha et al. 2022)","manualFormatting":"Tirtha et al. 2022","plainTextFormattedCitation":"(Dey Tirtha et al. 2022)","previouslyFormattedCitation":"(Dey Tirtha et al. 2022)"},"properties":{"noteIndex":0},"schema":"https://github.com/citation-style-language/schema/raw/master/csl-citation.json"}</w:instrText>
      </w:r>
      <w:r w:rsidR="003B3A24">
        <w:fldChar w:fldCharType="separate"/>
      </w:r>
      <w:r w:rsidR="003B3A24" w:rsidRPr="003B3A24">
        <w:rPr>
          <w:noProof/>
        </w:rPr>
        <w:t>Tirtha</w:t>
      </w:r>
      <w:r w:rsidR="003B3A24">
        <w:rPr>
          <w:noProof/>
        </w:rPr>
        <w:t xml:space="preserve"> et al.</w:t>
      </w:r>
      <w:r w:rsidR="003B3A24" w:rsidRPr="003B3A24">
        <w:rPr>
          <w:noProof/>
        </w:rPr>
        <w:t xml:space="preserve"> 2022</w:t>
      </w:r>
      <w:r w:rsidR="003B3A24">
        <w:fldChar w:fldCharType="end"/>
      </w:r>
      <w:r w:rsidR="003B3A24">
        <w:t>;</w:t>
      </w:r>
      <w:r w:rsidR="00967388">
        <w:t xml:space="preserve"> </w:t>
      </w:r>
      <w:r w:rsidR="00644C3A">
        <w:fldChar w:fldCharType="begin" w:fldLock="1"/>
      </w:r>
      <w:r w:rsidR="002126A5">
        <w:instrText>ADDIN CSL_CITATION {"citationItems":[{"id":"ITEM-1","itemData":{"DOI":"10.1016/j.jairtraman.2022.102320","ISSN":"09696997","abstract":"The current study proposes a novel modeling approach for modeling airline demand. Specifically, we develop a joint panel generalized ordered probit model system with observed thresholds for modeling air passenger arrivals and departures while accommodating for the influence of observed and unobserved effects on airline demand across multiple time periods. The proposed model is estimated using airline data compiled by Bureau of Transportation Statistics for 510 airports in the US at a quarterly level for five annual time points. A host of independent variables including demographic characteristics, built environment characteristics, spatial and temporal factors are considered. From the model estimation, the important factors affecting airline demand include metropolitan statistical area (MSA) population, median income, education attainment, airport location and temporal factors. A validation exercise is also performed using a holdout sample to highlight the superior performance of the proposed model. Finally, to illustrate how the proposed demand model allows agencies to understand changes to airline demand with changes to independent variables, a policy analysis is conducted.","author":[{"dropping-particle":"","family":"Tirtha","given":"Sudipta Dey","non-dropping-particle":"","parse-names":false,"suffix":""},{"dropping-particle":"","family":"Bhowmik","given":"Tanmoy","non-dropping-particle":"","parse-names":false,"suffix":""},{"dropping-particle":"","family":"Eluru","given":"Naveen","non-dropping-particle":"","parse-names":false,"suffix":""}],"container-title":"Journal of Air Transport Management","id":"ITEM-1","issue":"September 2022","issued":{"date-parts":[["2023"]]},"page":"102320","publisher":"Elsevier Ltd","title":"Understanding the factors affecting airport level demand (arrivals and departures) using a novel modeling approach","type":"article-journal","volume":"106"},"uris":["http://www.mendeley.com/documents/?uuid=d7eeb39d-8ae9-46db-a4a9-8ee5acda20d3"]}],"mendeley":{"formattedCitation":"(Tirtha et al. 2023)","manualFormatting":"Tirtha et al. 2023","plainTextFormattedCitation":"(Tirtha et al. 2023)","previouslyFormattedCitation":"(Tirtha et al. 2023)"},"properties":{"noteIndex":0},"schema":"https://github.com/citation-style-language/schema/raw/master/csl-citation.json"}</w:instrText>
      </w:r>
      <w:r w:rsidR="00644C3A">
        <w:fldChar w:fldCharType="separate"/>
      </w:r>
      <w:r w:rsidR="00644C3A" w:rsidRPr="00644C3A">
        <w:rPr>
          <w:noProof/>
        </w:rPr>
        <w:t>Tirtha</w:t>
      </w:r>
      <w:r w:rsidR="00644C3A">
        <w:rPr>
          <w:noProof/>
        </w:rPr>
        <w:t xml:space="preserve"> et al.</w:t>
      </w:r>
      <w:r w:rsidR="00644C3A" w:rsidRPr="00644C3A">
        <w:rPr>
          <w:noProof/>
        </w:rPr>
        <w:t xml:space="preserve"> 2023</w:t>
      </w:r>
      <w:r w:rsidR="00644C3A">
        <w:fldChar w:fldCharType="end"/>
      </w:r>
      <w:r w:rsidR="00644C3A">
        <w:t xml:space="preserve"> </w:t>
      </w:r>
      <w:r w:rsidR="006241B8">
        <w:t>for similar findings)</w:t>
      </w:r>
      <w:r w:rsidR="007B75D2">
        <w:t xml:space="preserve">. </w:t>
      </w:r>
      <w:r w:rsidR="0062550B">
        <w:t xml:space="preserve">However, the effect of population in MGOL framework is </w:t>
      </w:r>
      <w:r w:rsidR="00EA1D65">
        <w:t>modifi</w:t>
      </w:r>
      <w:r w:rsidR="0062550B">
        <w:t xml:space="preserve">ed by unobserved effects </w:t>
      </w:r>
      <w:r w:rsidR="00B6265F">
        <w:t xml:space="preserve">as illustrated by the </w:t>
      </w:r>
      <w:r w:rsidR="0062550B">
        <w:t xml:space="preserve">statistically significant standard deviation parameter. </w:t>
      </w:r>
      <w:r w:rsidR="00B6265F">
        <w:t>The</w:t>
      </w:r>
      <w:r w:rsidR="0062550B">
        <w:t xml:space="preserve"> estimated parameter</w:t>
      </w:r>
      <w:r w:rsidR="00B6265F">
        <w:t xml:space="preserve"> distribution indicates that </w:t>
      </w:r>
      <w:r w:rsidR="0062550B">
        <w:t xml:space="preserve">more than 99% of the distribution is </w:t>
      </w:r>
      <w:r w:rsidR="00EA1D65">
        <w:t>higher</w:t>
      </w:r>
      <w:r w:rsidR="0062550B">
        <w:t xml:space="preserve"> than zero. We also found that MSA population influences threshold parameters. </w:t>
      </w:r>
      <w:r w:rsidR="009D7D7F">
        <w:t>Positive</w:t>
      </w:r>
      <w:r w:rsidR="007B75D2">
        <w:t xml:space="preserve"> coefficient </w:t>
      </w:r>
      <w:r w:rsidR="00004C62">
        <w:t xml:space="preserve">of the parameter </w:t>
      </w:r>
      <w:r w:rsidR="00004C62" w:rsidRPr="007B75D2">
        <w:t xml:space="preserve">demarcating </w:t>
      </w:r>
      <w:r w:rsidR="00004C62">
        <w:t>Bin</w:t>
      </w:r>
      <w:r w:rsidR="00BC3D96">
        <w:t xml:space="preserve"> </w:t>
      </w:r>
      <w:r w:rsidR="00004C62">
        <w:t>3 and Bin</w:t>
      </w:r>
      <w:r w:rsidR="00BC3D96">
        <w:t xml:space="preserve"> </w:t>
      </w:r>
      <w:r w:rsidR="00004C62">
        <w:t xml:space="preserve">4 indicates that an increase in MSA population </w:t>
      </w:r>
      <w:r w:rsidR="00AC3A48">
        <w:t xml:space="preserve">increases the likelihood of demand category 3 and </w:t>
      </w:r>
      <w:r w:rsidR="00004C62">
        <w:t xml:space="preserve">decreases the likelihood of </w:t>
      </w:r>
      <w:r w:rsidR="00D90ACE">
        <w:t>higher order demand groups (Bin</w:t>
      </w:r>
      <w:r w:rsidR="00BC3D96">
        <w:t xml:space="preserve"> </w:t>
      </w:r>
      <w:r w:rsidR="00D90ACE">
        <w:t>4 and higher)</w:t>
      </w:r>
      <w:r w:rsidR="00004C62">
        <w:t>.</w:t>
      </w:r>
      <w:r w:rsidR="009D7D7F">
        <w:t xml:space="preserve"> </w:t>
      </w:r>
      <w:r w:rsidRPr="00F12C28">
        <w:t xml:space="preserve">Further, </w:t>
      </w:r>
      <w:r w:rsidR="00CF3C5E">
        <w:t xml:space="preserve">the </w:t>
      </w:r>
      <w:r w:rsidRPr="00F12C28">
        <w:t xml:space="preserve">results show that the air </w:t>
      </w:r>
      <w:r w:rsidR="00D45D4F" w:rsidRPr="00F12C28">
        <w:t xml:space="preserve"> </w:t>
      </w:r>
      <w:r w:rsidRPr="00F12C28">
        <w:t xml:space="preserve">demand </w:t>
      </w:r>
      <w:r w:rsidR="00004C62">
        <w:t>has</w:t>
      </w:r>
      <w:r w:rsidRPr="00F12C28">
        <w:t xml:space="preserve"> </w:t>
      </w:r>
      <w:r w:rsidR="00004C62">
        <w:t>significant</w:t>
      </w:r>
      <w:r w:rsidRPr="00F12C28">
        <w:t xml:space="preserve"> </w:t>
      </w:r>
      <w:r w:rsidR="00D45D4F">
        <w:t xml:space="preserve">income </w:t>
      </w:r>
      <w:r w:rsidRPr="00F12C28">
        <w:t>associat</w:t>
      </w:r>
      <w:r w:rsidR="00004C62">
        <w:t>ion</w:t>
      </w:r>
      <w:r>
        <w:t>.</w:t>
      </w:r>
      <w:r w:rsidR="00B231AA">
        <w:t xml:space="preserve"> </w:t>
      </w:r>
      <w:r w:rsidR="000C64DF">
        <w:t xml:space="preserve">An increase in MSA median income </w:t>
      </w:r>
      <w:r w:rsidR="00D45D4F">
        <w:t xml:space="preserve">contributes to </w:t>
      </w:r>
      <w:r w:rsidR="000C64DF">
        <w:t xml:space="preserve">higher demand. This result may </w:t>
      </w:r>
      <w:r w:rsidR="00D45D4F">
        <w:t>suggest</w:t>
      </w:r>
      <w:r w:rsidR="000C64DF">
        <w:t xml:space="preserve"> that higher affordability of the residents associated with increased median income may result in higher demand. </w:t>
      </w:r>
      <w:r w:rsidR="00417D1C">
        <w:t xml:space="preserve">From the results, we also observe that airline demand is significantly low if overall education status of a MSA is lower. </w:t>
      </w:r>
    </w:p>
    <w:p w14:paraId="6D7AFFEB" w14:textId="3809B096" w:rsidR="00B231AA" w:rsidRDefault="00B231AA" w:rsidP="00C80F9A">
      <w:pPr>
        <w:pStyle w:val="Heading3"/>
      </w:pPr>
      <w:r>
        <w:t>Built Environment Factors</w:t>
      </w:r>
    </w:p>
    <w:p w14:paraId="65581B69" w14:textId="36E7701E" w:rsidR="009C4382" w:rsidRDefault="00B231AA" w:rsidP="00C336C6">
      <w:pPr>
        <w:jc w:val="both"/>
      </w:pPr>
      <w:r>
        <w:t xml:space="preserve">From the table, we also observe that </w:t>
      </w:r>
      <w:r w:rsidR="00DD34AE">
        <w:t>built environment factors also determine air passenger demand at US airports. If number of airports near an airport of interest increases, the probabilit</w:t>
      </w:r>
      <w:r w:rsidR="009C4382">
        <w:t xml:space="preserve">ies of higher demand categories increase. The result might </w:t>
      </w:r>
      <w:r w:rsidR="0000210C">
        <w:t>suggest</w:t>
      </w:r>
      <w:r w:rsidR="009C4382">
        <w:t xml:space="preserve"> that higher number of airports in an area indicates overall </w:t>
      </w:r>
      <w:r w:rsidR="00E01F96">
        <w:t xml:space="preserve">higher airline </w:t>
      </w:r>
      <w:r w:rsidR="009C4382">
        <w:t xml:space="preserve">demand in that area. We also consider the impact of tourism on demand. From the result, we found that if an airport is located </w:t>
      </w:r>
      <w:r w:rsidR="00B51023">
        <w:t xml:space="preserve">in the </w:t>
      </w:r>
      <w:r w:rsidR="009C4382">
        <w:t>top 10 tourist attraction states,</w:t>
      </w:r>
      <w:r w:rsidR="00DD34AE">
        <w:t xml:space="preserve"> </w:t>
      </w:r>
      <w:r w:rsidR="009C4382">
        <w:t xml:space="preserve">the </w:t>
      </w:r>
      <w:r w:rsidR="001B7657">
        <w:t xml:space="preserve">propensity of </w:t>
      </w:r>
      <w:r w:rsidR="00200808">
        <w:t xml:space="preserve">airline </w:t>
      </w:r>
      <w:r w:rsidR="009C4382">
        <w:t xml:space="preserve">demand </w:t>
      </w:r>
      <w:r w:rsidR="00200808">
        <w:t>increases</w:t>
      </w:r>
      <w:r w:rsidR="009C4382">
        <w:t>.</w:t>
      </w:r>
      <w:r w:rsidR="00200808">
        <w:t xml:space="preserve"> </w:t>
      </w:r>
    </w:p>
    <w:p w14:paraId="76840111" w14:textId="0C192036" w:rsidR="009C4382" w:rsidRDefault="009C4382" w:rsidP="00C80F9A">
      <w:pPr>
        <w:pStyle w:val="Heading3"/>
      </w:pPr>
      <w:r>
        <w:t>Spatial Factors</w:t>
      </w:r>
    </w:p>
    <w:p w14:paraId="14F8B1D1" w14:textId="3DCF9FA7" w:rsidR="00F623F5" w:rsidRDefault="009C4382" w:rsidP="0062550B">
      <w:pPr>
        <w:jc w:val="both"/>
      </w:pPr>
      <w:r>
        <w:t xml:space="preserve">We consider spatial variation </w:t>
      </w:r>
      <w:r w:rsidR="005A529B">
        <w:t>in</w:t>
      </w:r>
      <w:r>
        <w:t xml:space="preserve"> airline demand using US region indicators and found that </w:t>
      </w:r>
      <w:r w:rsidR="00D771DB">
        <w:t>ai</w:t>
      </w:r>
      <w:r w:rsidR="00E9758E">
        <w:t xml:space="preserve">rports in the south experience higher </w:t>
      </w:r>
      <w:r>
        <w:t>airline demand</w:t>
      </w:r>
      <w:r w:rsidR="00566ED1">
        <w:t xml:space="preserve"> compared to other airports.</w:t>
      </w:r>
    </w:p>
    <w:p w14:paraId="2ADE7B63" w14:textId="77777777" w:rsidR="00E92707" w:rsidRDefault="00E92707" w:rsidP="001613D2">
      <w:pPr>
        <w:jc w:val="both"/>
        <w:rPr>
          <w:b/>
          <w:bCs/>
        </w:rPr>
      </w:pPr>
    </w:p>
    <w:p w14:paraId="2FC60FDB" w14:textId="2218C230" w:rsidR="001613D2" w:rsidRDefault="001613D2" w:rsidP="001613D2">
      <w:pPr>
        <w:jc w:val="both"/>
        <w:rPr>
          <w:b/>
          <w:bCs/>
        </w:rPr>
      </w:pPr>
      <w:r w:rsidRPr="00FE6EAA">
        <w:rPr>
          <w:b/>
          <w:bCs/>
        </w:rPr>
        <w:t xml:space="preserve">TABLE </w:t>
      </w:r>
      <w:r w:rsidR="00AE0B07">
        <w:rPr>
          <w:b/>
          <w:bCs/>
        </w:rPr>
        <w:t>3</w:t>
      </w:r>
      <w:r w:rsidRPr="00FE6EAA">
        <w:rPr>
          <w:b/>
          <w:bCs/>
        </w:rPr>
        <w:t xml:space="preserve"> </w:t>
      </w:r>
      <w:r>
        <w:rPr>
          <w:b/>
          <w:bCs/>
        </w:rPr>
        <w:t>Traditional Ordered Logit</w:t>
      </w:r>
      <w:r w:rsidRPr="00FE6EAA">
        <w:rPr>
          <w:b/>
          <w:bCs/>
        </w:rPr>
        <w:t xml:space="preserve"> Model</w:t>
      </w:r>
    </w:p>
    <w:tbl>
      <w:tblPr>
        <w:tblW w:w="5000" w:type="pct"/>
        <w:tblLook w:val="04A0" w:firstRow="1" w:lastRow="0" w:firstColumn="1" w:lastColumn="0" w:noHBand="0" w:noVBand="1"/>
      </w:tblPr>
      <w:tblGrid>
        <w:gridCol w:w="1962"/>
        <w:gridCol w:w="1744"/>
        <w:gridCol w:w="1411"/>
        <w:gridCol w:w="1411"/>
        <w:gridCol w:w="1411"/>
        <w:gridCol w:w="1411"/>
      </w:tblGrid>
      <w:tr w:rsidR="001613D2" w:rsidRPr="000D650F" w14:paraId="4B56B80C" w14:textId="77777777" w:rsidTr="00524FCE">
        <w:trPr>
          <w:trHeight w:val="290"/>
        </w:trPr>
        <w:tc>
          <w:tcPr>
            <w:tcW w:w="1421" w:type="pct"/>
            <w:tcBorders>
              <w:top w:val="single" w:sz="4" w:space="0" w:color="auto"/>
              <w:left w:val="single" w:sz="4" w:space="0" w:color="auto"/>
              <w:bottom w:val="single" w:sz="4" w:space="0" w:color="auto"/>
              <w:right w:val="single" w:sz="4" w:space="0" w:color="auto"/>
            </w:tcBorders>
            <w:noWrap/>
            <w:vAlign w:val="center"/>
            <w:hideMark/>
          </w:tcPr>
          <w:p w14:paraId="5C5B0AEA" w14:textId="77777777" w:rsidR="001613D2" w:rsidRPr="000D650F" w:rsidRDefault="001613D2" w:rsidP="00B53A8B">
            <w:pPr>
              <w:spacing w:after="0"/>
              <w:rPr>
                <w:rFonts w:eastAsia="Times New Roman" w:cs="Times New Roman"/>
                <w:b/>
                <w:bCs/>
                <w:color w:val="000000"/>
                <w:sz w:val="20"/>
                <w:szCs w:val="20"/>
              </w:rPr>
            </w:pPr>
            <w:r w:rsidRPr="000D650F">
              <w:rPr>
                <w:rFonts w:eastAsia="Times New Roman" w:cs="Times New Roman"/>
                <w:b/>
                <w:bCs/>
                <w:color w:val="000000"/>
                <w:sz w:val="20"/>
                <w:szCs w:val="20"/>
              </w:rPr>
              <w:t>Variables</w:t>
            </w:r>
          </w:p>
        </w:tc>
        <w:tc>
          <w:tcPr>
            <w:tcW w:w="725" w:type="pct"/>
            <w:tcBorders>
              <w:top w:val="single" w:sz="4" w:space="0" w:color="auto"/>
              <w:left w:val="nil"/>
              <w:bottom w:val="single" w:sz="4" w:space="0" w:color="auto"/>
              <w:right w:val="single" w:sz="4" w:space="0" w:color="auto"/>
            </w:tcBorders>
            <w:noWrap/>
            <w:vAlign w:val="center"/>
            <w:hideMark/>
          </w:tcPr>
          <w:p w14:paraId="2BBEA25A" w14:textId="77777777" w:rsidR="001613D2" w:rsidRPr="000D650F" w:rsidRDefault="001613D2" w:rsidP="00B53A8B">
            <w:pPr>
              <w:spacing w:after="0"/>
              <w:rPr>
                <w:rFonts w:eastAsia="Times New Roman" w:cs="Times New Roman"/>
                <w:b/>
                <w:bCs/>
                <w:color w:val="000000"/>
                <w:sz w:val="20"/>
                <w:szCs w:val="20"/>
              </w:rPr>
            </w:pPr>
            <w:r w:rsidRPr="000D650F">
              <w:rPr>
                <w:rFonts w:eastAsia="Times New Roman" w:cs="Times New Roman"/>
                <w:b/>
                <w:bCs/>
                <w:color w:val="000000"/>
                <w:sz w:val="20"/>
                <w:szCs w:val="20"/>
              </w:rPr>
              <w:t>Latent propensity</w:t>
            </w:r>
          </w:p>
        </w:tc>
        <w:tc>
          <w:tcPr>
            <w:tcW w:w="727" w:type="pct"/>
            <w:tcBorders>
              <w:top w:val="single" w:sz="4" w:space="0" w:color="auto"/>
              <w:left w:val="nil"/>
              <w:bottom w:val="single" w:sz="4" w:space="0" w:color="auto"/>
              <w:right w:val="single" w:sz="4" w:space="0" w:color="auto"/>
            </w:tcBorders>
            <w:noWrap/>
            <w:vAlign w:val="center"/>
            <w:hideMark/>
          </w:tcPr>
          <w:p w14:paraId="4B672D63" w14:textId="5FE51CB0" w:rsidR="001613D2" w:rsidRPr="000D650F" w:rsidRDefault="001613D2" w:rsidP="00B53A8B">
            <w:pPr>
              <w:spacing w:after="0"/>
              <w:rPr>
                <w:rFonts w:eastAsia="Times New Roman" w:cs="Times New Roman"/>
                <w:b/>
                <w:bCs/>
                <w:color w:val="000000"/>
                <w:sz w:val="20"/>
                <w:szCs w:val="20"/>
              </w:rPr>
            </w:pPr>
            <w:r w:rsidRPr="000D650F">
              <w:rPr>
                <w:rFonts w:eastAsia="Times New Roman" w:cs="Times New Roman"/>
                <w:b/>
                <w:bCs/>
                <w:color w:val="000000"/>
                <w:sz w:val="20"/>
                <w:szCs w:val="20"/>
              </w:rPr>
              <w:t>Threshold</w:t>
            </w:r>
            <w:r w:rsidR="00524FCE">
              <w:rPr>
                <w:rFonts w:eastAsia="Times New Roman" w:cs="Times New Roman"/>
                <w:b/>
                <w:bCs/>
                <w:color w:val="000000"/>
                <w:sz w:val="20"/>
                <w:szCs w:val="20"/>
              </w:rPr>
              <w:t xml:space="preserve"> </w:t>
            </w:r>
            <w:r w:rsidRPr="000D650F">
              <w:rPr>
                <w:rFonts w:eastAsia="Times New Roman" w:cs="Times New Roman"/>
                <w:b/>
                <w:bCs/>
                <w:color w:val="000000"/>
                <w:sz w:val="20"/>
                <w:szCs w:val="20"/>
              </w:rPr>
              <w:t>2-3</w:t>
            </w:r>
          </w:p>
        </w:tc>
        <w:tc>
          <w:tcPr>
            <w:tcW w:w="805" w:type="pct"/>
            <w:tcBorders>
              <w:top w:val="single" w:sz="4" w:space="0" w:color="auto"/>
              <w:left w:val="nil"/>
              <w:bottom w:val="single" w:sz="4" w:space="0" w:color="auto"/>
              <w:right w:val="single" w:sz="4" w:space="0" w:color="auto"/>
            </w:tcBorders>
            <w:noWrap/>
            <w:vAlign w:val="center"/>
            <w:hideMark/>
          </w:tcPr>
          <w:p w14:paraId="50450EDF" w14:textId="77777777" w:rsidR="001613D2" w:rsidRPr="000D650F" w:rsidRDefault="001613D2" w:rsidP="00B53A8B">
            <w:pPr>
              <w:spacing w:after="0"/>
              <w:rPr>
                <w:rFonts w:eastAsia="Times New Roman" w:cs="Times New Roman"/>
                <w:b/>
                <w:bCs/>
                <w:color w:val="000000"/>
                <w:sz w:val="20"/>
                <w:szCs w:val="20"/>
              </w:rPr>
            </w:pPr>
            <w:r w:rsidRPr="000D650F">
              <w:rPr>
                <w:rFonts w:eastAsia="Times New Roman" w:cs="Times New Roman"/>
                <w:b/>
                <w:bCs/>
                <w:color w:val="000000"/>
                <w:sz w:val="20"/>
                <w:szCs w:val="20"/>
              </w:rPr>
              <w:t>Threshold 3-4</w:t>
            </w:r>
          </w:p>
        </w:tc>
        <w:tc>
          <w:tcPr>
            <w:tcW w:w="670" w:type="pct"/>
            <w:tcBorders>
              <w:top w:val="single" w:sz="4" w:space="0" w:color="auto"/>
              <w:left w:val="nil"/>
              <w:bottom w:val="single" w:sz="4" w:space="0" w:color="auto"/>
              <w:right w:val="single" w:sz="4" w:space="0" w:color="auto"/>
            </w:tcBorders>
            <w:noWrap/>
            <w:vAlign w:val="center"/>
            <w:hideMark/>
          </w:tcPr>
          <w:p w14:paraId="04586E09" w14:textId="77777777" w:rsidR="001613D2" w:rsidRPr="000D650F" w:rsidRDefault="001613D2" w:rsidP="00B53A8B">
            <w:pPr>
              <w:spacing w:after="0"/>
              <w:rPr>
                <w:rFonts w:eastAsia="Times New Roman" w:cs="Times New Roman"/>
                <w:b/>
                <w:bCs/>
                <w:color w:val="000000"/>
                <w:sz w:val="20"/>
                <w:szCs w:val="20"/>
              </w:rPr>
            </w:pPr>
            <w:r w:rsidRPr="000D650F">
              <w:rPr>
                <w:rFonts w:eastAsia="Times New Roman" w:cs="Times New Roman"/>
                <w:b/>
                <w:bCs/>
                <w:color w:val="000000"/>
                <w:sz w:val="20"/>
                <w:szCs w:val="20"/>
              </w:rPr>
              <w:t>Threshold 4-5</w:t>
            </w:r>
          </w:p>
        </w:tc>
        <w:tc>
          <w:tcPr>
            <w:tcW w:w="651" w:type="pct"/>
            <w:tcBorders>
              <w:top w:val="single" w:sz="4" w:space="0" w:color="auto"/>
              <w:left w:val="nil"/>
              <w:bottom w:val="single" w:sz="4" w:space="0" w:color="auto"/>
              <w:right w:val="single" w:sz="4" w:space="0" w:color="auto"/>
            </w:tcBorders>
            <w:noWrap/>
            <w:vAlign w:val="center"/>
            <w:hideMark/>
          </w:tcPr>
          <w:p w14:paraId="4F820DC2" w14:textId="77777777" w:rsidR="001613D2" w:rsidRPr="000D650F" w:rsidRDefault="001613D2" w:rsidP="00B53A8B">
            <w:pPr>
              <w:spacing w:after="0"/>
              <w:rPr>
                <w:rFonts w:eastAsia="Times New Roman" w:cs="Times New Roman"/>
                <w:b/>
                <w:bCs/>
                <w:color w:val="000000"/>
                <w:sz w:val="20"/>
                <w:szCs w:val="20"/>
              </w:rPr>
            </w:pPr>
            <w:r w:rsidRPr="000D650F">
              <w:rPr>
                <w:rFonts w:eastAsia="Times New Roman" w:cs="Times New Roman"/>
                <w:b/>
                <w:bCs/>
                <w:color w:val="000000"/>
                <w:sz w:val="20"/>
                <w:szCs w:val="20"/>
              </w:rPr>
              <w:t>Threshold 5-6</w:t>
            </w:r>
          </w:p>
        </w:tc>
      </w:tr>
      <w:tr w:rsidR="001613D2" w:rsidRPr="000D650F" w14:paraId="2B22FEC4" w14:textId="77777777" w:rsidTr="00524FCE">
        <w:trPr>
          <w:trHeight w:val="290"/>
        </w:trPr>
        <w:tc>
          <w:tcPr>
            <w:tcW w:w="1421" w:type="pct"/>
            <w:tcBorders>
              <w:top w:val="nil"/>
              <w:left w:val="single" w:sz="4" w:space="0" w:color="auto"/>
              <w:bottom w:val="single" w:sz="4" w:space="0" w:color="auto"/>
              <w:right w:val="single" w:sz="4" w:space="0" w:color="auto"/>
            </w:tcBorders>
            <w:noWrap/>
            <w:vAlign w:val="center"/>
            <w:hideMark/>
          </w:tcPr>
          <w:p w14:paraId="58DF85C4"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Constant</w:t>
            </w:r>
          </w:p>
        </w:tc>
        <w:tc>
          <w:tcPr>
            <w:tcW w:w="725" w:type="pct"/>
            <w:tcBorders>
              <w:top w:val="nil"/>
              <w:left w:val="nil"/>
              <w:bottom w:val="single" w:sz="4" w:space="0" w:color="auto"/>
              <w:right w:val="single" w:sz="4" w:space="0" w:color="auto"/>
            </w:tcBorders>
            <w:noWrap/>
            <w:vAlign w:val="bottom"/>
            <w:hideMark/>
          </w:tcPr>
          <w:p w14:paraId="121B8F24" w14:textId="77777777" w:rsidR="001613D2"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-1.483</w:t>
            </w:r>
          </w:p>
          <w:p w14:paraId="464F10E0" w14:textId="33BAE2F3"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r w:rsidR="003C6422">
              <w:rPr>
                <w:rFonts w:eastAsia="Times New Roman" w:cs="Times New Roman"/>
                <w:color w:val="000000"/>
                <w:sz w:val="20"/>
                <w:szCs w:val="20"/>
              </w:rPr>
              <w:t>8.329</w:t>
            </w:r>
            <w:r w:rsidRPr="000D650F">
              <w:rPr>
                <w:rFonts w:eastAsia="Times New Roman" w:cs="Times New Roman"/>
                <w:color w:val="000000"/>
                <w:sz w:val="20"/>
                <w:szCs w:val="20"/>
              </w:rPr>
              <w:t>)</w:t>
            </w:r>
          </w:p>
        </w:tc>
        <w:tc>
          <w:tcPr>
            <w:tcW w:w="727" w:type="pct"/>
            <w:tcBorders>
              <w:top w:val="nil"/>
              <w:left w:val="nil"/>
              <w:bottom w:val="single" w:sz="4" w:space="0" w:color="auto"/>
              <w:right w:val="single" w:sz="4" w:space="0" w:color="auto"/>
            </w:tcBorders>
            <w:noWrap/>
            <w:vAlign w:val="bottom"/>
            <w:hideMark/>
          </w:tcPr>
          <w:p w14:paraId="62472F13" w14:textId="77777777" w:rsidR="001613D2"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0.084</w:t>
            </w:r>
          </w:p>
          <w:p w14:paraId="5FE5D39A" w14:textId="078F7A1E"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(2.8</w:t>
            </w:r>
            <w:r w:rsidR="003C6422">
              <w:rPr>
                <w:rFonts w:eastAsia="Times New Roman" w:cs="Times New Roman"/>
                <w:color w:val="000000"/>
                <w:sz w:val="20"/>
                <w:szCs w:val="20"/>
              </w:rPr>
              <w:t>47</w:t>
            </w:r>
            <w:r w:rsidRPr="000D650F">
              <w:rPr>
                <w:rFonts w:eastAsia="Times New Roman" w:cs="Times New Roman"/>
                <w:color w:val="000000"/>
                <w:sz w:val="20"/>
                <w:szCs w:val="20"/>
              </w:rPr>
              <w:t>)</w:t>
            </w:r>
          </w:p>
        </w:tc>
        <w:tc>
          <w:tcPr>
            <w:tcW w:w="805" w:type="pct"/>
            <w:tcBorders>
              <w:top w:val="nil"/>
              <w:left w:val="nil"/>
              <w:bottom w:val="single" w:sz="4" w:space="0" w:color="auto"/>
              <w:right w:val="single" w:sz="4" w:space="0" w:color="auto"/>
            </w:tcBorders>
            <w:noWrap/>
            <w:vAlign w:val="bottom"/>
            <w:hideMark/>
          </w:tcPr>
          <w:p w14:paraId="0EF3A3C6" w14:textId="6073A910" w:rsidR="001613D2"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-0.12</w:t>
            </w:r>
            <w:r w:rsidR="003C6422">
              <w:rPr>
                <w:rFonts w:eastAsia="Times New Roman" w:cs="Times New Roman"/>
                <w:color w:val="000000"/>
                <w:sz w:val="20"/>
                <w:szCs w:val="20"/>
              </w:rPr>
              <w:t>0</w:t>
            </w:r>
          </w:p>
          <w:p w14:paraId="33DE9AD4" w14:textId="3B0FF654"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(-4.1</w:t>
            </w:r>
            <w:r w:rsidR="003C6422">
              <w:rPr>
                <w:rFonts w:eastAsia="Times New Roman" w:cs="Times New Roman"/>
                <w:color w:val="000000"/>
                <w:sz w:val="20"/>
                <w:szCs w:val="20"/>
              </w:rPr>
              <w:t>14</w:t>
            </w:r>
            <w:r w:rsidRPr="000D650F">
              <w:rPr>
                <w:rFonts w:eastAsia="Times New Roman" w:cs="Times New Roman"/>
                <w:color w:val="000000"/>
                <w:sz w:val="20"/>
                <w:szCs w:val="20"/>
              </w:rPr>
              <w:t>)</w:t>
            </w:r>
          </w:p>
        </w:tc>
        <w:tc>
          <w:tcPr>
            <w:tcW w:w="670" w:type="pct"/>
            <w:tcBorders>
              <w:top w:val="nil"/>
              <w:left w:val="nil"/>
              <w:bottom w:val="single" w:sz="4" w:space="0" w:color="auto"/>
              <w:right w:val="single" w:sz="4" w:space="0" w:color="auto"/>
            </w:tcBorders>
            <w:noWrap/>
            <w:vAlign w:val="bottom"/>
            <w:hideMark/>
          </w:tcPr>
          <w:p w14:paraId="7DE67DD2" w14:textId="77777777" w:rsidR="001613D2"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-0.039</w:t>
            </w:r>
          </w:p>
          <w:p w14:paraId="0E75D415" w14:textId="32084A35"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(-1.</w:t>
            </w:r>
            <w:r w:rsidR="003C6422">
              <w:rPr>
                <w:rFonts w:eastAsia="Times New Roman" w:cs="Times New Roman"/>
                <w:color w:val="000000"/>
                <w:sz w:val="20"/>
                <w:szCs w:val="20"/>
              </w:rPr>
              <w:t>278</w:t>
            </w:r>
            <w:r w:rsidRPr="000D650F">
              <w:rPr>
                <w:rFonts w:eastAsia="Times New Roman" w:cs="Times New Roman"/>
                <w:color w:val="000000"/>
                <w:sz w:val="20"/>
                <w:szCs w:val="20"/>
              </w:rPr>
              <w:t>)</w:t>
            </w:r>
          </w:p>
        </w:tc>
        <w:tc>
          <w:tcPr>
            <w:tcW w:w="651" w:type="pct"/>
            <w:tcBorders>
              <w:top w:val="nil"/>
              <w:left w:val="nil"/>
              <w:bottom w:val="single" w:sz="4" w:space="0" w:color="auto"/>
              <w:right w:val="single" w:sz="4" w:space="0" w:color="auto"/>
            </w:tcBorders>
            <w:noWrap/>
            <w:vAlign w:val="bottom"/>
            <w:hideMark/>
          </w:tcPr>
          <w:p w14:paraId="5955E798" w14:textId="77777777" w:rsidR="001613D2"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0.345</w:t>
            </w:r>
          </w:p>
          <w:p w14:paraId="4FA29460" w14:textId="6B947E34"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(1</w:t>
            </w:r>
            <w:r w:rsidR="003C6422">
              <w:rPr>
                <w:rFonts w:eastAsia="Times New Roman" w:cs="Times New Roman"/>
                <w:color w:val="000000"/>
                <w:sz w:val="20"/>
                <w:szCs w:val="20"/>
              </w:rPr>
              <w:t>0.081</w:t>
            </w:r>
            <w:r w:rsidRPr="000D650F">
              <w:rPr>
                <w:rFonts w:eastAsia="Times New Roman" w:cs="Times New Roman"/>
                <w:color w:val="000000"/>
                <w:sz w:val="20"/>
                <w:szCs w:val="20"/>
              </w:rPr>
              <w:t>)</w:t>
            </w:r>
          </w:p>
        </w:tc>
      </w:tr>
      <w:tr w:rsidR="001613D2" w:rsidRPr="000D650F" w14:paraId="74397666"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78948183" w14:textId="77777777" w:rsidR="001613D2" w:rsidRPr="000D650F" w:rsidRDefault="001613D2" w:rsidP="00B53A8B">
            <w:pPr>
              <w:spacing w:after="0"/>
              <w:jc w:val="center"/>
              <w:rPr>
                <w:rFonts w:eastAsia="Times New Roman" w:cs="Times New Roman"/>
                <w:b/>
                <w:bCs/>
                <w:i/>
                <w:iCs/>
                <w:color w:val="000000"/>
                <w:sz w:val="20"/>
                <w:szCs w:val="20"/>
              </w:rPr>
            </w:pPr>
            <w:r w:rsidRPr="000D650F">
              <w:rPr>
                <w:rFonts w:eastAsia="Times New Roman" w:cs="Times New Roman"/>
                <w:b/>
                <w:bCs/>
                <w:i/>
                <w:iCs/>
                <w:color w:val="000000"/>
                <w:sz w:val="20"/>
                <w:szCs w:val="20"/>
              </w:rPr>
              <w:t>Demographic Characteristics</w:t>
            </w:r>
          </w:p>
        </w:tc>
      </w:tr>
      <w:tr w:rsidR="001613D2" w:rsidRPr="000D650F" w14:paraId="5041ADD0" w14:textId="77777777" w:rsidTr="00524FCE">
        <w:trPr>
          <w:trHeight w:val="290"/>
        </w:trPr>
        <w:tc>
          <w:tcPr>
            <w:tcW w:w="1421" w:type="pct"/>
            <w:tcBorders>
              <w:top w:val="nil"/>
              <w:left w:val="single" w:sz="4" w:space="0" w:color="auto"/>
              <w:bottom w:val="single" w:sz="4" w:space="0" w:color="auto"/>
              <w:right w:val="single" w:sz="4" w:space="0" w:color="auto"/>
            </w:tcBorders>
            <w:noWrap/>
            <w:vAlign w:val="center"/>
            <w:hideMark/>
          </w:tcPr>
          <w:p w14:paraId="5B8011FA"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Population</w:t>
            </w:r>
          </w:p>
        </w:tc>
        <w:tc>
          <w:tcPr>
            <w:tcW w:w="725" w:type="pct"/>
            <w:tcBorders>
              <w:top w:val="nil"/>
              <w:left w:val="nil"/>
              <w:bottom w:val="single" w:sz="4" w:space="0" w:color="auto"/>
              <w:right w:val="single" w:sz="4" w:space="0" w:color="auto"/>
            </w:tcBorders>
            <w:noWrap/>
            <w:vAlign w:val="bottom"/>
            <w:hideMark/>
          </w:tcPr>
          <w:p w14:paraId="5B3E8573" w14:textId="77777777" w:rsidR="001613D2"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0.417</w:t>
            </w:r>
          </w:p>
          <w:p w14:paraId="0892809F" w14:textId="0EAFCDE5"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r w:rsidR="003C6422">
              <w:rPr>
                <w:rFonts w:eastAsia="Times New Roman" w:cs="Times New Roman"/>
                <w:color w:val="000000"/>
                <w:sz w:val="20"/>
                <w:szCs w:val="20"/>
              </w:rPr>
              <w:t>6.524</w:t>
            </w:r>
            <w:r w:rsidRPr="000D650F">
              <w:rPr>
                <w:rFonts w:eastAsia="Times New Roman" w:cs="Times New Roman"/>
                <w:color w:val="000000"/>
                <w:sz w:val="20"/>
                <w:szCs w:val="20"/>
              </w:rPr>
              <w:t>)</w:t>
            </w:r>
          </w:p>
        </w:tc>
        <w:tc>
          <w:tcPr>
            <w:tcW w:w="727" w:type="pct"/>
            <w:tcBorders>
              <w:top w:val="nil"/>
              <w:left w:val="nil"/>
              <w:bottom w:val="single" w:sz="4" w:space="0" w:color="auto"/>
              <w:right w:val="single" w:sz="4" w:space="0" w:color="auto"/>
            </w:tcBorders>
            <w:noWrap/>
            <w:vAlign w:val="center"/>
            <w:hideMark/>
          </w:tcPr>
          <w:p w14:paraId="775D0031"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805" w:type="pct"/>
            <w:tcBorders>
              <w:top w:val="nil"/>
              <w:left w:val="nil"/>
              <w:bottom w:val="single" w:sz="4" w:space="0" w:color="auto"/>
              <w:right w:val="single" w:sz="4" w:space="0" w:color="auto"/>
            </w:tcBorders>
            <w:noWrap/>
            <w:vAlign w:val="center"/>
            <w:hideMark/>
          </w:tcPr>
          <w:p w14:paraId="45DD4CFD"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70" w:type="pct"/>
            <w:tcBorders>
              <w:top w:val="nil"/>
              <w:left w:val="nil"/>
              <w:bottom w:val="single" w:sz="4" w:space="0" w:color="auto"/>
              <w:right w:val="single" w:sz="4" w:space="0" w:color="auto"/>
            </w:tcBorders>
            <w:noWrap/>
            <w:vAlign w:val="center"/>
            <w:hideMark/>
          </w:tcPr>
          <w:p w14:paraId="55DF630C"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51" w:type="pct"/>
            <w:tcBorders>
              <w:top w:val="nil"/>
              <w:left w:val="nil"/>
              <w:bottom w:val="single" w:sz="4" w:space="0" w:color="auto"/>
              <w:right w:val="single" w:sz="4" w:space="0" w:color="auto"/>
            </w:tcBorders>
            <w:noWrap/>
            <w:vAlign w:val="center"/>
            <w:hideMark/>
          </w:tcPr>
          <w:p w14:paraId="75E794BB"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r>
      <w:tr w:rsidR="001613D2" w:rsidRPr="000D650F" w14:paraId="31EA1010" w14:textId="77777777" w:rsidTr="00524FCE">
        <w:trPr>
          <w:trHeight w:val="290"/>
        </w:trPr>
        <w:tc>
          <w:tcPr>
            <w:tcW w:w="1421" w:type="pct"/>
            <w:tcBorders>
              <w:top w:val="nil"/>
              <w:left w:val="single" w:sz="4" w:space="0" w:color="auto"/>
              <w:bottom w:val="single" w:sz="4" w:space="0" w:color="auto"/>
              <w:right w:val="single" w:sz="4" w:space="0" w:color="auto"/>
            </w:tcBorders>
            <w:noWrap/>
            <w:vAlign w:val="center"/>
            <w:hideMark/>
          </w:tcPr>
          <w:p w14:paraId="02B5E35A"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Median Income</w:t>
            </w:r>
          </w:p>
        </w:tc>
        <w:tc>
          <w:tcPr>
            <w:tcW w:w="725" w:type="pct"/>
            <w:tcBorders>
              <w:top w:val="nil"/>
              <w:left w:val="nil"/>
              <w:bottom w:val="single" w:sz="4" w:space="0" w:color="auto"/>
              <w:right w:val="single" w:sz="4" w:space="0" w:color="auto"/>
            </w:tcBorders>
            <w:noWrap/>
            <w:vAlign w:val="bottom"/>
            <w:hideMark/>
          </w:tcPr>
          <w:p w14:paraId="16DF9E8F" w14:textId="3CB7E956" w:rsidR="001613D2"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2.97</w:t>
            </w:r>
            <w:r w:rsidR="003C6422">
              <w:rPr>
                <w:rFonts w:eastAsia="Times New Roman" w:cs="Times New Roman"/>
                <w:color w:val="000000"/>
                <w:sz w:val="20"/>
                <w:szCs w:val="20"/>
              </w:rPr>
              <w:t>7</w:t>
            </w:r>
          </w:p>
          <w:p w14:paraId="1BD28389" w14:textId="3ED4C241"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r w:rsidR="003C6422">
              <w:rPr>
                <w:rFonts w:eastAsia="Times New Roman" w:cs="Times New Roman"/>
                <w:color w:val="000000"/>
                <w:sz w:val="20"/>
                <w:szCs w:val="20"/>
              </w:rPr>
              <w:t>9.105</w:t>
            </w:r>
            <w:r w:rsidRPr="000D650F">
              <w:rPr>
                <w:rFonts w:eastAsia="Times New Roman" w:cs="Times New Roman"/>
                <w:color w:val="000000"/>
                <w:sz w:val="20"/>
                <w:szCs w:val="20"/>
              </w:rPr>
              <w:t>)</w:t>
            </w:r>
          </w:p>
        </w:tc>
        <w:tc>
          <w:tcPr>
            <w:tcW w:w="727" w:type="pct"/>
            <w:tcBorders>
              <w:top w:val="nil"/>
              <w:left w:val="nil"/>
              <w:bottom w:val="single" w:sz="4" w:space="0" w:color="auto"/>
              <w:right w:val="single" w:sz="4" w:space="0" w:color="auto"/>
            </w:tcBorders>
            <w:noWrap/>
            <w:vAlign w:val="bottom"/>
            <w:hideMark/>
          </w:tcPr>
          <w:p w14:paraId="760CCFFF"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805" w:type="pct"/>
            <w:tcBorders>
              <w:top w:val="nil"/>
              <w:left w:val="nil"/>
              <w:bottom w:val="single" w:sz="4" w:space="0" w:color="auto"/>
              <w:right w:val="single" w:sz="4" w:space="0" w:color="auto"/>
            </w:tcBorders>
            <w:noWrap/>
            <w:vAlign w:val="bottom"/>
            <w:hideMark/>
          </w:tcPr>
          <w:p w14:paraId="64945070"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70" w:type="pct"/>
            <w:tcBorders>
              <w:top w:val="nil"/>
              <w:left w:val="nil"/>
              <w:bottom w:val="single" w:sz="4" w:space="0" w:color="auto"/>
              <w:right w:val="single" w:sz="4" w:space="0" w:color="auto"/>
            </w:tcBorders>
            <w:noWrap/>
            <w:vAlign w:val="center"/>
            <w:hideMark/>
          </w:tcPr>
          <w:p w14:paraId="28DEBA9F"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51" w:type="pct"/>
            <w:tcBorders>
              <w:top w:val="nil"/>
              <w:left w:val="nil"/>
              <w:bottom w:val="single" w:sz="4" w:space="0" w:color="auto"/>
              <w:right w:val="single" w:sz="4" w:space="0" w:color="auto"/>
            </w:tcBorders>
            <w:noWrap/>
            <w:vAlign w:val="center"/>
            <w:hideMark/>
          </w:tcPr>
          <w:p w14:paraId="03AA28C0"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r>
      <w:tr w:rsidR="001613D2" w:rsidRPr="000D650F" w14:paraId="20333BC4"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7B770622"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Education status (Base: High)</w:t>
            </w:r>
          </w:p>
        </w:tc>
      </w:tr>
      <w:tr w:rsidR="001613D2" w:rsidRPr="000D650F" w14:paraId="41FE5DC4" w14:textId="77777777" w:rsidTr="00524FCE">
        <w:trPr>
          <w:trHeight w:val="290"/>
        </w:trPr>
        <w:tc>
          <w:tcPr>
            <w:tcW w:w="1421" w:type="pct"/>
            <w:tcBorders>
              <w:top w:val="nil"/>
              <w:left w:val="single" w:sz="4" w:space="0" w:color="auto"/>
              <w:bottom w:val="single" w:sz="4" w:space="0" w:color="auto"/>
              <w:right w:val="single" w:sz="4" w:space="0" w:color="auto"/>
            </w:tcBorders>
            <w:noWrap/>
            <w:vAlign w:val="center"/>
            <w:hideMark/>
          </w:tcPr>
          <w:p w14:paraId="688899F4"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Low</w:t>
            </w:r>
          </w:p>
        </w:tc>
        <w:tc>
          <w:tcPr>
            <w:tcW w:w="725" w:type="pct"/>
            <w:tcBorders>
              <w:top w:val="nil"/>
              <w:left w:val="nil"/>
              <w:bottom w:val="single" w:sz="4" w:space="0" w:color="auto"/>
              <w:right w:val="single" w:sz="4" w:space="0" w:color="auto"/>
            </w:tcBorders>
            <w:noWrap/>
            <w:vAlign w:val="bottom"/>
            <w:hideMark/>
          </w:tcPr>
          <w:p w14:paraId="5B8717FB" w14:textId="77777777" w:rsidR="001613D2"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-0.547</w:t>
            </w:r>
          </w:p>
          <w:p w14:paraId="68AFD910" w14:textId="0A796E0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(-10.</w:t>
            </w:r>
            <w:r w:rsidR="003C6422">
              <w:rPr>
                <w:rFonts w:eastAsia="Times New Roman" w:cs="Times New Roman"/>
                <w:color w:val="000000"/>
                <w:sz w:val="20"/>
                <w:szCs w:val="20"/>
              </w:rPr>
              <w:t>627</w:t>
            </w:r>
            <w:r w:rsidRPr="000D650F">
              <w:rPr>
                <w:rFonts w:eastAsia="Times New Roman" w:cs="Times New Roman"/>
                <w:color w:val="000000"/>
                <w:sz w:val="20"/>
                <w:szCs w:val="20"/>
              </w:rPr>
              <w:t>)</w:t>
            </w:r>
          </w:p>
        </w:tc>
        <w:tc>
          <w:tcPr>
            <w:tcW w:w="727" w:type="pct"/>
            <w:tcBorders>
              <w:top w:val="nil"/>
              <w:left w:val="nil"/>
              <w:bottom w:val="single" w:sz="4" w:space="0" w:color="auto"/>
              <w:right w:val="single" w:sz="4" w:space="0" w:color="auto"/>
            </w:tcBorders>
            <w:noWrap/>
            <w:vAlign w:val="bottom"/>
            <w:hideMark/>
          </w:tcPr>
          <w:p w14:paraId="3D2735B2" w14:textId="77777777" w:rsidR="001613D2" w:rsidRPr="000D650F" w:rsidRDefault="001613D2" w:rsidP="00B53A8B">
            <w:pPr>
              <w:spacing w:after="0"/>
              <w:rPr>
                <w:rFonts w:ascii="Calibri" w:eastAsia="Times New Roman" w:hAnsi="Calibri" w:cs="Calibri"/>
                <w:color w:val="000000"/>
                <w:sz w:val="22"/>
              </w:rPr>
            </w:pPr>
            <w:r w:rsidRPr="000D650F">
              <w:rPr>
                <w:rFonts w:ascii="Calibri" w:eastAsia="Times New Roman" w:hAnsi="Calibri" w:cs="Calibri"/>
                <w:color w:val="000000"/>
                <w:sz w:val="22"/>
              </w:rPr>
              <w:t>--</w:t>
            </w:r>
          </w:p>
        </w:tc>
        <w:tc>
          <w:tcPr>
            <w:tcW w:w="805" w:type="pct"/>
            <w:tcBorders>
              <w:top w:val="nil"/>
              <w:left w:val="nil"/>
              <w:bottom w:val="single" w:sz="4" w:space="0" w:color="auto"/>
              <w:right w:val="single" w:sz="4" w:space="0" w:color="auto"/>
            </w:tcBorders>
            <w:noWrap/>
            <w:vAlign w:val="center"/>
            <w:hideMark/>
          </w:tcPr>
          <w:p w14:paraId="2443C34F"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70" w:type="pct"/>
            <w:tcBorders>
              <w:top w:val="nil"/>
              <w:left w:val="nil"/>
              <w:bottom w:val="single" w:sz="4" w:space="0" w:color="auto"/>
              <w:right w:val="single" w:sz="4" w:space="0" w:color="auto"/>
            </w:tcBorders>
            <w:noWrap/>
            <w:vAlign w:val="center"/>
            <w:hideMark/>
          </w:tcPr>
          <w:p w14:paraId="56A878C7"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51" w:type="pct"/>
            <w:tcBorders>
              <w:top w:val="nil"/>
              <w:left w:val="nil"/>
              <w:bottom w:val="single" w:sz="4" w:space="0" w:color="auto"/>
              <w:right w:val="single" w:sz="4" w:space="0" w:color="auto"/>
            </w:tcBorders>
            <w:noWrap/>
            <w:vAlign w:val="center"/>
            <w:hideMark/>
          </w:tcPr>
          <w:p w14:paraId="182E4449"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r>
      <w:tr w:rsidR="001613D2" w:rsidRPr="000D650F" w14:paraId="3AEDC0AC"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565FF959" w14:textId="77777777" w:rsidR="001613D2" w:rsidRPr="000D650F" w:rsidRDefault="001613D2" w:rsidP="00B53A8B">
            <w:pPr>
              <w:spacing w:after="0"/>
              <w:jc w:val="center"/>
              <w:rPr>
                <w:rFonts w:eastAsia="Times New Roman" w:cs="Times New Roman"/>
                <w:b/>
                <w:bCs/>
                <w:i/>
                <w:iCs/>
                <w:color w:val="000000"/>
                <w:sz w:val="20"/>
                <w:szCs w:val="20"/>
              </w:rPr>
            </w:pPr>
            <w:r w:rsidRPr="000D650F">
              <w:rPr>
                <w:rFonts w:eastAsia="Times New Roman" w:cs="Times New Roman"/>
                <w:b/>
                <w:bCs/>
                <w:i/>
                <w:iCs/>
                <w:color w:val="000000"/>
                <w:sz w:val="20"/>
                <w:szCs w:val="20"/>
              </w:rPr>
              <w:t>Built Environment Factors</w:t>
            </w:r>
          </w:p>
        </w:tc>
      </w:tr>
      <w:tr w:rsidR="001613D2" w:rsidRPr="000D650F" w14:paraId="2E5634E7" w14:textId="77777777" w:rsidTr="00524FCE">
        <w:trPr>
          <w:trHeight w:val="290"/>
        </w:trPr>
        <w:tc>
          <w:tcPr>
            <w:tcW w:w="1421" w:type="pct"/>
            <w:tcBorders>
              <w:top w:val="nil"/>
              <w:left w:val="single" w:sz="4" w:space="0" w:color="auto"/>
              <w:bottom w:val="single" w:sz="4" w:space="0" w:color="auto"/>
              <w:right w:val="single" w:sz="4" w:space="0" w:color="auto"/>
            </w:tcBorders>
            <w:noWrap/>
            <w:vAlign w:val="center"/>
            <w:hideMark/>
          </w:tcPr>
          <w:p w14:paraId="4E054B31"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No. of airports</w:t>
            </w:r>
          </w:p>
        </w:tc>
        <w:tc>
          <w:tcPr>
            <w:tcW w:w="725" w:type="pct"/>
            <w:tcBorders>
              <w:top w:val="nil"/>
              <w:left w:val="nil"/>
              <w:bottom w:val="single" w:sz="4" w:space="0" w:color="auto"/>
              <w:right w:val="single" w:sz="4" w:space="0" w:color="auto"/>
            </w:tcBorders>
            <w:noWrap/>
            <w:vAlign w:val="bottom"/>
            <w:hideMark/>
          </w:tcPr>
          <w:p w14:paraId="3C22864B" w14:textId="77777777" w:rsidR="001613D2"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0.773</w:t>
            </w:r>
          </w:p>
          <w:p w14:paraId="1386CFE1" w14:textId="27D7DA7F"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r w:rsidR="003C6422">
              <w:rPr>
                <w:rFonts w:eastAsia="Times New Roman" w:cs="Times New Roman"/>
                <w:color w:val="000000"/>
                <w:sz w:val="20"/>
                <w:szCs w:val="20"/>
              </w:rPr>
              <w:t>15.410</w:t>
            </w:r>
            <w:r w:rsidRPr="000D650F">
              <w:rPr>
                <w:rFonts w:eastAsia="Times New Roman" w:cs="Times New Roman"/>
                <w:color w:val="000000"/>
                <w:sz w:val="20"/>
                <w:szCs w:val="20"/>
              </w:rPr>
              <w:t>)</w:t>
            </w:r>
          </w:p>
        </w:tc>
        <w:tc>
          <w:tcPr>
            <w:tcW w:w="727" w:type="pct"/>
            <w:tcBorders>
              <w:top w:val="nil"/>
              <w:left w:val="nil"/>
              <w:bottom w:val="single" w:sz="4" w:space="0" w:color="auto"/>
              <w:right w:val="single" w:sz="4" w:space="0" w:color="auto"/>
            </w:tcBorders>
            <w:noWrap/>
            <w:vAlign w:val="bottom"/>
            <w:hideMark/>
          </w:tcPr>
          <w:p w14:paraId="35E19C0B" w14:textId="77777777" w:rsidR="001613D2" w:rsidRPr="000D650F" w:rsidRDefault="001613D2" w:rsidP="00B53A8B">
            <w:pPr>
              <w:spacing w:after="0"/>
              <w:rPr>
                <w:rFonts w:ascii="Calibri" w:eastAsia="Times New Roman" w:hAnsi="Calibri" w:cs="Calibri"/>
                <w:color w:val="000000"/>
                <w:sz w:val="22"/>
              </w:rPr>
            </w:pPr>
            <w:r w:rsidRPr="000D650F">
              <w:rPr>
                <w:rFonts w:ascii="Calibri" w:eastAsia="Times New Roman" w:hAnsi="Calibri" w:cs="Calibri"/>
                <w:color w:val="000000"/>
                <w:sz w:val="22"/>
              </w:rPr>
              <w:t>--</w:t>
            </w:r>
          </w:p>
        </w:tc>
        <w:tc>
          <w:tcPr>
            <w:tcW w:w="805" w:type="pct"/>
            <w:tcBorders>
              <w:top w:val="nil"/>
              <w:left w:val="nil"/>
              <w:bottom w:val="single" w:sz="4" w:space="0" w:color="auto"/>
              <w:right w:val="single" w:sz="4" w:space="0" w:color="auto"/>
            </w:tcBorders>
            <w:noWrap/>
            <w:vAlign w:val="center"/>
            <w:hideMark/>
          </w:tcPr>
          <w:p w14:paraId="2B2C1968"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70" w:type="pct"/>
            <w:tcBorders>
              <w:top w:val="nil"/>
              <w:left w:val="nil"/>
              <w:bottom w:val="single" w:sz="4" w:space="0" w:color="auto"/>
              <w:right w:val="single" w:sz="4" w:space="0" w:color="auto"/>
            </w:tcBorders>
            <w:noWrap/>
            <w:vAlign w:val="center"/>
            <w:hideMark/>
          </w:tcPr>
          <w:p w14:paraId="55D7623A"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51" w:type="pct"/>
            <w:tcBorders>
              <w:top w:val="nil"/>
              <w:left w:val="nil"/>
              <w:bottom w:val="single" w:sz="4" w:space="0" w:color="auto"/>
              <w:right w:val="single" w:sz="4" w:space="0" w:color="auto"/>
            </w:tcBorders>
            <w:noWrap/>
            <w:vAlign w:val="center"/>
            <w:hideMark/>
          </w:tcPr>
          <w:p w14:paraId="42E034CB"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r>
      <w:tr w:rsidR="001613D2" w:rsidRPr="000D650F" w14:paraId="54A16723"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3C383DA3"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 xml:space="preserve">Tourism ranking (Base: </w:t>
            </w:r>
            <w:r>
              <w:rPr>
                <w:rFonts w:eastAsia="Times New Roman" w:cs="Times New Roman"/>
                <w:color w:val="000000"/>
                <w:sz w:val="20"/>
                <w:szCs w:val="20"/>
              </w:rPr>
              <w:t>O</w:t>
            </w:r>
            <w:r w:rsidRPr="000D650F">
              <w:rPr>
                <w:rFonts w:eastAsia="Times New Roman" w:cs="Times New Roman"/>
                <w:color w:val="000000"/>
                <w:sz w:val="20"/>
                <w:szCs w:val="20"/>
              </w:rPr>
              <w:t>ther)</w:t>
            </w:r>
          </w:p>
        </w:tc>
      </w:tr>
      <w:tr w:rsidR="001613D2" w:rsidRPr="000D650F" w14:paraId="2013A52E" w14:textId="77777777" w:rsidTr="00524FCE">
        <w:trPr>
          <w:trHeight w:val="290"/>
        </w:trPr>
        <w:tc>
          <w:tcPr>
            <w:tcW w:w="1421" w:type="pct"/>
            <w:tcBorders>
              <w:top w:val="nil"/>
              <w:left w:val="single" w:sz="4" w:space="0" w:color="auto"/>
              <w:bottom w:val="single" w:sz="4" w:space="0" w:color="auto"/>
              <w:right w:val="single" w:sz="4" w:space="0" w:color="auto"/>
            </w:tcBorders>
            <w:noWrap/>
            <w:vAlign w:val="center"/>
            <w:hideMark/>
          </w:tcPr>
          <w:p w14:paraId="4EFE8A26"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 xml:space="preserve">Top 10 </w:t>
            </w:r>
          </w:p>
        </w:tc>
        <w:tc>
          <w:tcPr>
            <w:tcW w:w="725" w:type="pct"/>
            <w:tcBorders>
              <w:top w:val="nil"/>
              <w:left w:val="nil"/>
              <w:bottom w:val="single" w:sz="4" w:space="0" w:color="auto"/>
              <w:right w:val="single" w:sz="4" w:space="0" w:color="auto"/>
            </w:tcBorders>
            <w:noWrap/>
            <w:vAlign w:val="bottom"/>
            <w:hideMark/>
          </w:tcPr>
          <w:p w14:paraId="1606A4E1" w14:textId="77777777" w:rsidR="001613D2"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0.220</w:t>
            </w:r>
          </w:p>
          <w:p w14:paraId="17F013BF" w14:textId="4369992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(3.8</w:t>
            </w:r>
            <w:r w:rsidR="003C6422">
              <w:rPr>
                <w:rFonts w:eastAsia="Times New Roman" w:cs="Times New Roman"/>
                <w:color w:val="000000"/>
                <w:sz w:val="20"/>
                <w:szCs w:val="20"/>
              </w:rPr>
              <w:t>38</w:t>
            </w:r>
            <w:r w:rsidRPr="000D650F">
              <w:rPr>
                <w:rFonts w:eastAsia="Times New Roman" w:cs="Times New Roman"/>
                <w:color w:val="000000"/>
                <w:sz w:val="20"/>
                <w:szCs w:val="20"/>
              </w:rPr>
              <w:t>)</w:t>
            </w:r>
          </w:p>
        </w:tc>
        <w:tc>
          <w:tcPr>
            <w:tcW w:w="727" w:type="pct"/>
            <w:tcBorders>
              <w:top w:val="nil"/>
              <w:left w:val="nil"/>
              <w:bottom w:val="single" w:sz="4" w:space="0" w:color="auto"/>
              <w:right w:val="single" w:sz="4" w:space="0" w:color="auto"/>
            </w:tcBorders>
            <w:noWrap/>
            <w:vAlign w:val="bottom"/>
            <w:hideMark/>
          </w:tcPr>
          <w:p w14:paraId="70324F37" w14:textId="77777777" w:rsidR="001613D2" w:rsidRPr="000D650F" w:rsidRDefault="001613D2" w:rsidP="00B53A8B">
            <w:pPr>
              <w:spacing w:after="0"/>
              <w:rPr>
                <w:rFonts w:ascii="Calibri" w:eastAsia="Times New Roman" w:hAnsi="Calibri" w:cs="Calibri"/>
                <w:color w:val="000000"/>
                <w:sz w:val="22"/>
              </w:rPr>
            </w:pPr>
            <w:r w:rsidRPr="000D650F">
              <w:rPr>
                <w:rFonts w:ascii="Calibri" w:eastAsia="Times New Roman" w:hAnsi="Calibri" w:cs="Calibri"/>
                <w:color w:val="000000"/>
                <w:sz w:val="22"/>
              </w:rPr>
              <w:t>--</w:t>
            </w:r>
          </w:p>
        </w:tc>
        <w:tc>
          <w:tcPr>
            <w:tcW w:w="805" w:type="pct"/>
            <w:tcBorders>
              <w:top w:val="nil"/>
              <w:left w:val="nil"/>
              <w:bottom w:val="single" w:sz="4" w:space="0" w:color="auto"/>
              <w:right w:val="single" w:sz="4" w:space="0" w:color="auto"/>
            </w:tcBorders>
            <w:noWrap/>
            <w:vAlign w:val="center"/>
            <w:hideMark/>
          </w:tcPr>
          <w:p w14:paraId="5515E019"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70" w:type="pct"/>
            <w:tcBorders>
              <w:top w:val="nil"/>
              <w:left w:val="nil"/>
              <w:bottom w:val="single" w:sz="4" w:space="0" w:color="auto"/>
              <w:right w:val="single" w:sz="4" w:space="0" w:color="auto"/>
            </w:tcBorders>
            <w:noWrap/>
            <w:vAlign w:val="center"/>
            <w:hideMark/>
          </w:tcPr>
          <w:p w14:paraId="4343074F"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51" w:type="pct"/>
            <w:tcBorders>
              <w:top w:val="nil"/>
              <w:left w:val="nil"/>
              <w:bottom w:val="single" w:sz="4" w:space="0" w:color="auto"/>
              <w:right w:val="single" w:sz="4" w:space="0" w:color="auto"/>
            </w:tcBorders>
            <w:noWrap/>
            <w:vAlign w:val="bottom"/>
            <w:hideMark/>
          </w:tcPr>
          <w:p w14:paraId="7D7C2E92"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r>
      <w:tr w:rsidR="001613D2" w:rsidRPr="000D650F" w14:paraId="284CE217"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2CB49F38" w14:textId="77777777" w:rsidR="001613D2" w:rsidRPr="000D650F" w:rsidRDefault="001613D2" w:rsidP="00B53A8B">
            <w:pPr>
              <w:spacing w:after="0"/>
              <w:jc w:val="center"/>
              <w:rPr>
                <w:rFonts w:eastAsia="Times New Roman" w:cs="Times New Roman"/>
                <w:b/>
                <w:bCs/>
                <w:i/>
                <w:iCs/>
                <w:color w:val="000000"/>
                <w:sz w:val="20"/>
                <w:szCs w:val="20"/>
              </w:rPr>
            </w:pPr>
            <w:r w:rsidRPr="000D650F">
              <w:rPr>
                <w:rFonts w:eastAsia="Times New Roman" w:cs="Times New Roman"/>
                <w:b/>
                <w:bCs/>
                <w:i/>
                <w:iCs/>
                <w:color w:val="000000"/>
                <w:sz w:val="20"/>
                <w:szCs w:val="20"/>
              </w:rPr>
              <w:t>Spatial Factors</w:t>
            </w:r>
          </w:p>
        </w:tc>
      </w:tr>
      <w:tr w:rsidR="001613D2" w:rsidRPr="000D650F" w14:paraId="5D158526"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288A4F6B"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 xml:space="preserve">Region (Base: </w:t>
            </w:r>
            <w:r>
              <w:rPr>
                <w:rFonts w:eastAsia="Times New Roman" w:cs="Times New Roman"/>
                <w:color w:val="000000"/>
                <w:sz w:val="20"/>
                <w:szCs w:val="20"/>
              </w:rPr>
              <w:t>O</w:t>
            </w:r>
            <w:r w:rsidRPr="000D650F">
              <w:rPr>
                <w:rFonts w:eastAsia="Times New Roman" w:cs="Times New Roman"/>
                <w:color w:val="000000"/>
                <w:sz w:val="20"/>
                <w:szCs w:val="20"/>
              </w:rPr>
              <w:t>ther regions)</w:t>
            </w:r>
          </w:p>
        </w:tc>
      </w:tr>
      <w:tr w:rsidR="001613D2" w:rsidRPr="000D650F" w14:paraId="3D031A91" w14:textId="77777777" w:rsidTr="00524FCE">
        <w:trPr>
          <w:trHeight w:val="290"/>
        </w:trPr>
        <w:tc>
          <w:tcPr>
            <w:tcW w:w="1421" w:type="pct"/>
            <w:tcBorders>
              <w:top w:val="nil"/>
              <w:left w:val="single" w:sz="4" w:space="0" w:color="auto"/>
              <w:bottom w:val="single" w:sz="4" w:space="0" w:color="auto"/>
              <w:right w:val="single" w:sz="4" w:space="0" w:color="auto"/>
            </w:tcBorders>
            <w:noWrap/>
            <w:vAlign w:val="center"/>
            <w:hideMark/>
          </w:tcPr>
          <w:p w14:paraId="1DA1F55F"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South</w:t>
            </w:r>
          </w:p>
        </w:tc>
        <w:tc>
          <w:tcPr>
            <w:tcW w:w="725" w:type="pct"/>
            <w:tcBorders>
              <w:top w:val="nil"/>
              <w:left w:val="nil"/>
              <w:bottom w:val="single" w:sz="4" w:space="0" w:color="auto"/>
              <w:right w:val="single" w:sz="4" w:space="0" w:color="auto"/>
            </w:tcBorders>
            <w:noWrap/>
            <w:vAlign w:val="bottom"/>
            <w:hideMark/>
          </w:tcPr>
          <w:p w14:paraId="694F0CEF" w14:textId="77777777" w:rsidR="001613D2"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0.910</w:t>
            </w:r>
          </w:p>
          <w:p w14:paraId="18B01B59" w14:textId="6AE38A68"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(15.</w:t>
            </w:r>
            <w:r w:rsidR="003C6422">
              <w:rPr>
                <w:rFonts w:eastAsia="Times New Roman" w:cs="Times New Roman"/>
                <w:color w:val="000000"/>
                <w:sz w:val="20"/>
                <w:szCs w:val="20"/>
              </w:rPr>
              <w:t>179</w:t>
            </w:r>
            <w:r w:rsidRPr="000D650F">
              <w:rPr>
                <w:rFonts w:eastAsia="Times New Roman" w:cs="Times New Roman"/>
                <w:color w:val="000000"/>
                <w:sz w:val="20"/>
                <w:szCs w:val="20"/>
              </w:rPr>
              <w:t>)</w:t>
            </w:r>
          </w:p>
        </w:tc>
        <w:tc>
          <w:tcPr>
            <w:tcW w:w="727" w:type="pct"/>
            <w:tcBorders>
              <w:top w:val="nil"/>
              <w:left w:val="nil"/>
              <w:bottom w:val="single" w:sz="4" w:space="0" w:color="auto"/>
              <w:right w:val="single" w:sz="4" w:space="0" w:color="auto"/>
            </w:tcBorders>
            <w:noWrap/>
            <w:vAlign w:val="bottom"/>
            <w:hideMark/>
          </w:tcPr>
          <w:p w14:paraId="3715D5BD" w14:textId="77777777" w:rsidR="001613D2" w:rsidRPr="000D650F" w:rsidRDefault="001613D2" w:rsidP="00B53A8B">
            <w:pPr>
              <w:spacing w:after="0"/>
              <w:rPr>
                <w:rFonts w:ascii="Calibri" w:eastAsia="Times New Roman" w:hAnsi="Calibri" w:cs="Calibri"/>
                <w:color w:val="000000"/>
                <w:sz w:val="22"/>
              </w:rPr>
            </w:pPr>
            <w:r w:rsidRPr="000D650F">
              <w:rPr>
                <w:rFonts w:ascii="Calibri" w:eastAsia="Times New Roman" w:hAnsi="Calibri" w:cs="Calibri"/>
                <w:color w:val="000000"/>
                <w:sz w:val="22"/>
              </w:rPr>
              <w:t>--</w:t>
            </w:r>
          </w:p>
        </w:tc>
        <w:tc>
          <w:tcPr>
            <w:tcW w:w="805" w:type="pct"/>
            <w:tcBorders>
              <w:top w:val="nil"/>
              <w:left w:val="nil"/>
              <w:bottom w:val="single" w:sz="4" w:space="0" w:color="auto"/>
              <w:right w:val="single" w:sz="4" w:space="0" w:color="auto"/>
            </w:tcBorders>
            <w:noWrap/>
            <w:vAlign w:val="center"/>
            <w:hideMark/>
          </w:tcPr>
          <w:p w14:paraId="5BB5742C"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70" w:type="pct"/>
            <w:tcBorders>
              <w:top w:val="nil"/>
              <w:left w:val="nil"/>
              <w:bottom w:val="single" w:sz="4" w:space="0" w:color="auto"/>
              <w:right w:val="single" w:sz="4" w:space="0" w:color="auto"/>
            </w:tcBorders>
            <w:noWrap/>
            <w:vAlign w:val="center"/>
            <w:hideMark/>
          </w:tcPr>
          <w:p w14:paraId="5B36A4E2"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51" w:type="pct"/>
            <w:tcBorders>
              <w:top w:val="nil"/>
              <w:left w:val="nil"/>
              <w:bottom w:val="single" w:sz="4" w:space="0" w:color="auto"/>
              <w:right w:val="single" w:sz="4" w:space="0" w:color="auto"/>
            </w:tcBorders>
            <w:noWrap/>
            <w:vAlign w:val="center"/>
            <w:hideMark/>
          </w:tcPr>
          <w:p w14:paraId="5A605754" w14:textId="77777777" w:rsidR="001613D2" w:rsidRPr="000D650F" w:rsidRDefault="001613D2"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r>
    </w:tbl>
    <w:p w14:paraId="2DEF1EC8" w14:textId="77777777" w:rsidR="00A1756A" w:rsidRDefault="00A1756A" w:rsidP="0048267F">
      <w:pPr>
        <w:jc w:val="both"/>
        <w:rPr>
          <w:b/>
          <w:bCs/>
        </w:rPr>
      </w:pPr>
    </w:p>
    <w:p w14:paraId="340E2160" w14:textId="30AC375B" w:rsidR="00524FCE" w:rsidRPr="00FE6EAA" w:rsidRDefault="00524FCE" w:rsidP="00524FCE">
      <w:pPr>
        <w:jc w:val="both"/>
        <w:rPr>
          <w:b/>
          <w:bCs/>
        </w:rPr>
      </w:pPr>
      <w:r w:rsidRPr="00FE6EAA">
        <w:rPr>
          <w:b/>
          <w:bCs/>
        </w:rPr>
        <w:t xml:space="preserve">TABLE </w:t>
      </w:r>
      <w:r w:rsidR="00AE0B07">
        <w:rPr>
          <w:b/>
          <w:bCs/>
        </w:rPr>
        <w:t>4</w:t>
      </w:r>
      <w:r w:rsidRPr="00FE6EAA">
        <w:rPr>
          <w:b/>
          <w:bCs/>
        </w:rPr>
        <w:t xml:space="preserve"> </w:t>
      </w:r>
      <w:r>
        <w:rPr>
          <w:b/>
          <w:bCs/>
        </w:rPr>
        <w:t>Generalized Ordered Logit</w:t>
      </w:r>
      <w:r w:rsidRPr="00FE6EAA">
        <w:rPr>
          <w:b/>
          <w:bCs/>
        </w:rPr>
        <w:t xml:space="preserve"> Model</w:t>
      </w:r>
    </w:p>
    <w:tbl>
      <w:tblPr>
        <w:tblW w:w="5000" w:type="pct"/>
        <w:tblLook w:val="04A0" w:firstRow="1" w:lastRow="0" w:firstColumn="1" w:lastColumn="0" w:noHBand="0" w:noVBand="1"/>
      </w:tblPr>
      <w:tblGrid>
        <w:gridCol w:w="1962"/>
        <w:gridCol w:w="1744"/>
        <w:gridCol w:w="1411"/>
        <w:gridCol w:w="1411"/>
        <w:gridCol w:w="1411"/>
        <w:gridCol w:w="1411"/>
      </w:tblGrid>
      <w:tr w:rsidR="00524FCE" w:rsidRPr="000D650F" w14:paraId="719E9EE0" w14:textId="77777777" w:rsidTr="00524FCE">
        <w:trPr>
          <w:trHeight w:val="290"/>
        </w:trPr>
        <w:tc>
          <w:tcPr>
            <w:tcW w:w="1438" w:type="pct"/>
            <w:tcBorders>
              <w:top w:val="single" w:sz="4" w:space="0" w:color="auto"/>
              <w:left w:val="single" w:sz="4" w:space="0" w:color="auto"/>
              <w:bottom w:val="single" w:sz="4" w:space="0" w:color="auto"/>
              <w:right w:val="single" w:sz="4" w:space="0" w:color="auto"/>
            </w:tcBorders>
            <w:noWrap/>
            <w:vAlign w:val="center"/>
            <w:hideMark/>
          </w:tcPr>
          <w:p w14:paraId="1D231C7F" w14:textId="77777777" w:rsidR="00524FCE" w:rsidRPr="000D650F" w:rsidRDefault="00524FCE" w:rsidP="00B53A8B">
            <w:pPr>
              <w:spacing w:after="0"/>
              <w:rPr>
                <w:rFonts w:eastAsia="Times New Roman" w:cs="Times New Roman"/>
                <w:b/>
                <w:bCs/>
                <w:color w:val="000000"/>
                <w:sz w:val="20"/>
                <w:szCs w:val="20"/>
              </w:rPr>
            </w:pPr>
            <w:r w:rsidRPr="000D650F">
              <w:rPr>
                <w:rFonts w:eastAsia="Times New Roman" w:cs="Times New Roman"/>
                <w:b/>
                <w:bCs/>
                <w:color w:val="000000"/>
                <w:sz w:val="20"/>
                <w:szCs w:val="20"/>
              </w:rPr>
              <w:t>Variables</w:t>
            </w:r>
          </w:p>
        </w:tc>
        <w:tc>
          <w:tcPr>
            <w:tcW w:w="734" w:type="pct"/>
            <w:tcBorders>
              <w:top w:val="single" w:sz="4" w:space="0" w:color="auto"/>
              <w:left w:val="nil"/>
              <w:bottom w:val="single" w:sz="4" w:space="0" w:color="auto"/>
              <w:right w:val="single" w:sz="4" w:space="0" w:color="auto"/>
            </w:tcBorders>
            <w:noWrap/>
            <w:vAlign w:val="center"/>
            <w:hideMark/>
          </w:tcPr>
          <w:p w14:paraId="6708E596" w14:textId="77777777" w:rsidR="00524FCE" w:rsidRPr="000D650F" w:rsidRDefault="00524FCE" w:rsidP="00B53A8B">
            <w:pPr>
              <w:spacing w:after="0"/>
              <w:rPr>
                <w:rFonts w:eastAsia="Times New Roman" w:cs="Times New Roman"/>
                <w:b/>
                <w:bCs/>
                <w:color w:val="000000"/>
                <w:sz w:val="20"/>
                <w:szCs w:val="20"/>
              </w:rPr>
            </w:pPr>
            <w:r w:rsidRPr="000D650F">
              <w:rPr>
                <w:rFonts w:eastAsia="Times New Roman" w:cs="Times New Roman"/>
                <w:b/>
                <w:bCs/>
                <w:color w:val="000000"/>
                <w:sz w:val="20"/>
                <w:szCs w:val="20"/>
              </w:rPr>
              <w:t>Latent propensity</w:t>
            </w:r>
          </w:p>
        </w:tc>
        <w:tc>
          <w:tcPr>
            <w:tcW w:w="736" w:type="pct"/>
            <w:tcBorders>
              <w:top w:val="single" w:sz="4" w:space="0" w:color="auto"/>
              <w:left w:val="nil"/>
              <w:bottom w:val="single" w:sz="4" w:space="0" w:color="auto"/>
              <w:right w:val="single" w:sz="4" w:space="0" w:color="auto"/>
            </w:tcBorders>
            <w:noWrap/>
            <w:vAlign w:val="center"/>
            <w:hideMark/>
          </w:tcPr>
          <w:p w14:paraId="5B5CA733" w14:textId="2CB0BC2C" w:rsidR="00524FCE" w:rsidRPr="000D650F" w:rsidRDefault="00524FCE" w:rsidP="00B53A8B">
            <w:pPr>
              <w:spacing w:after="0"/>
              <w:rPr>
                <w:rFonts w:eastAsia="Times New Roman" w:cs="Times New Roman"/>
                <w:b/>
                <w:bCs/>
                <w:color w:val="000000"/>
                <w:sz w:val="20"/>
                <w:szCs w:val="20"/>
              </w:rPr>
            </w:pPr>
            <w:r w:rsidRPr="000D650F">
              <w:rPr>
                <w:rFonts w:eastAsia="Times New Roman" w:cs="Times New Roman"/>
                <w:b/>
                <w:bCs/>
                <w:color w:val="000000"/>
                <w:sz w:val="20"/>
                <w:szCs w:val="20"/>
              </w:rPr>
              <w:t>Threshold</w:t>
            </w:r>
            <w:r>
              <w:rPr>
                <w:rFonts w:eastAsia="Times New Roman" w:cs="Times New Roman"/>
                <w:b/>
                <w:bCs/>
                <w:color w:val="000000"/>
                <w:sz w:val="20"/>
                <w:szCs w:val="20"/>
              </w:rPr>
              <w:t xml:space="preserve"> </w:t>
            </w:r>
            <w:r w:rsidRPr="000D650F">
              <w:rPr>
                <w:rFonts w:eastAsia="Times New Roman" w:cs="Times New Roman"/>
                <w:b/>
                <w:bCs/>
                <w:color w:val="000000"/>
                <w:sz w:val="20"/>
                <w:szCs w:val="20"/>
              </w:rPr>
              <w:t>2-3</w:t>
            </w:r>
          </w:p>
        </w:tc>
        <w:tc>
          <w:tcPr>
            <w:tcW w:w="815" w:type="pct"/>
            <w:tcBorders>
              <w:top w:val="single" w:sz="4" w:space="0" w:color="auto"/>
              <w:left w:val="nil"/>
              <w:bottom w:val="single" w:sz="4" w:space="0" w:color="auto"/>
              <w:right w:val="single" w:sz="4" w:space="0" w:color="auto"/>
            </w:tcBorders>
            <w:noWrap/>
            <w:vAlign w:val="center"/>
            <w:hideMark/>
          </w:tcPr>
          <w:p w14:paraId="0C872519" w14:textId="77777777" w:rsidR="00524FCE" w:rsidRPr="000D650F" w:rsidRDefault="00524FCE" w:rsidP="00B53A8B">
            <w:pPr>
              <w:spacing w:after="0"/>
              <w:rPr>
                <w:rFonts w:eastAsia="Times New Roman" w:cs="Times New Roman"/>
                <w:b/>
                <w:bCs/>
                <w:color w:val="000000"/>
                <w:sz w:val="20"/>
                <w:szCs w:val="20"/>
              </w:rPr>
            </w:pPr>
            <w:r w:rsidRPr="000D650F">
              <w:rPr>
                <w:rFonts w:eastAsia="Times New Roman" w:cs="Times New Roman"/>
                <w:b/>
                <w:bCs/>
                <w:color w:val="000000"/>
                <w:sz w:val="20"/>
                <w:szCs w:val="20"/>
              </w:rPr>
              <w:t>Threshold 3-4</w:t>
            </w:r>
          </w:p>
        </w:tc>
        <w:tc>
          <w:tcPr>
            <w:tcW w:w="620" w:type="pct"/>
            <w:tcBorders>
              <w:top w:val="single" w:sz="4" w:space="0" w:color="auto"/>
              <w:left w:val="nil"/>
              <w:bottom w:val="single" w:sz="4" w:space="0" w:color="auto"/>
              <w:right w:val="single" w:sz="4" w:space="0" w:color="auto"/>
            </w:tcBorders>
            <w:noWrap/>
            <w:vAlign w:val="center"/>
            <w:hideMark/>
          </w:tcPr>
          <w:p w14:paraId="37A6F431" w14:textId="77777777" w:rsidR="00524FCE" w:rsidRPr="000D650F" w:rsidRDefault="00524FCE" w:rsidP="00B53A8B">
            <w:pPr>
              <w:spacing w:after="0"/>
              <w:rPr>
                <w:rFonts w:eastAsia="Times New Roman" w:cs="Times New Roman"/>
                <w:b/>
                <w:bCs/>
                <w:color w:val="000000"/>
                <w:sz w:val="20"/>
                <w:szCs w:val="20"/>
              </w:rPr>
            </w:pPr>
            <w:r w:rsidRPr="000D650F">
              <w:rPr>
                <w:rFonts w:eastAsia="Times New Roman" w:cs="Times New Roman"/>
                <w:b/>
                <w:bCs/>
                <w:color w:val="000000"/>
                <w:sz w:val="20"/>
                <w:szCs w:val="20"/>
              </w:rPr>
              <w:t>Threshold 4-5</w:t>
            </w:r>
          </w:p>
        </w:tc>
        <w:tc>
          <w:tcPr>
            <w:tcW w:w="659" w:type="pct"/>
            <w:tcBorders>
              <w:top w:val="single" w:sz="4" w:space="0" w:color="auto"/>
              <w:left w:val="nil"/>
              <w:bottom w:val="single" w:sz="4" w:space="0" w:color="auto"/>
              <w:right w:val="single" w:sz="4" w:space="0" w:color="auto"/>
            </w:tcBorders>
            <w:noWrap/>
            <w:vAlign w:val="center"/>
            <w:hideMark/>
          </w:tcPr>
          <w:p w14:paraId="1AF2D9EA" w14:textId="77777777" w:rsidR="00524FCE" w:rsidRPr="000D650F" w:rsidRDefault="00524FCE" w:rsidP="00B53A8B">
            <w:pPr>
              <w:spacing w:after="0"/>
              <w:rPr>
                <w:rFonts w:eastAsia="Times New Roman" w:cs="Times New Roman"/>
                <w:b/>
                <w:bCs/>
                <w:color w:val="000000"/>
                <w:sz w:val="20"/>
                <w:szCs w:val="20"/>
              </w:rPr>
            </w:pPr>
            <w:r w:rsidRPr="000D650F">
              <w:rPr>
                <w:rFonts w:eastAsia="Times New Roman" w:cs="Times New Roman"/>
                <w:b/>
                <w:bCs/>
                <w:color w:val="000000"/>
                <w:sz w:val="20"/>
                <w:szCs w:val="20"/>
              </w:rPr>
              <w:t>Threshold 5-6</w:t>
            </w:r>
          </w:p>
        </w:tc>
      </w:tr>
      <w:tr w:rsidR="00524FCE" w:rsidRPr="000D650F" w14:paraId="15BDBBB3" w14:textId="77777777" w:rsidTr="00524FCE">
        <w:trPr>
          <w:trHeight w:val="290"/>
        </w:trPr>
        <w:tc>
          <w:tcPr>
            <w:tcW w:w="1438" w:type="pct"/>
            <w:tcBorders>
              <w:top w:val="nil"/>
              <w:left w:val="single" w:sz="4" w:space="0" w:color="auto"/>
              <w:bottom w:val="single" w:sz="4" w:space="0" w:color="auto"/>
              <w:right w:val="single" w:sz="4" w:space="0" w:color="auto"/>
            </w:tcBorders>
            <w:noWrap/>
            <w:vAlign w:val="center"/>
            <w:hideMark/>
          </w:tcPr>
          <w:p w14:paraId="6D41F268"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Constant</w:t>
            </w:r>
          </w:p>
        </w:tc>
        <w:tc>
          <w:tcPr>
            <w:tcW w:w="734" w:type="pct"/>
            <w:tcBorders>
              <w:top w:val="nil"/>
              <w:left w:val="nil"/>
              <w:bottom w:val="single" w:sz="4" w:space="0" w:color="auto"/>
              <w:right w:val="single" w:sz="4" w:space="0" w:color="auto"/>
            </w:tcBorders>
            <w:noWrap/>
            <w:vAlign w:val="bottom"/>
            <w:hideMark/>
          </w:tcPr>
          <w:p w14:paraId="15FD6384" w14:textId="77777777"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-1.143</w:t>
            </w:r>
          </w:p>
          <w:p w14:paraId="34DF6970" w14:textId="6671B5BB"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r w:rsidR="003E7D46">
              <w:rPr>
                <w:rFonts w:eastAsia="Times New Roman" w:cs="Times New Roman"/>
                <w:color w:val="000000"/>
                <w:sz w:val="20"/>
                <w:szCs w:val="20"/>
              </w:rPr>
              <w:t>4.974</w:t>
            </w:r>
            <w:r w:rsidRPr="000D650F">
              <w:rPr>
                <w:rFonts w:eastAsia="Times New Roman" w:cs="Times New Roman"/>
                <w:color w:val="000000"/>
                <w:sz w:val="20"/>
                <w:szCs w:val="20"/>
              </w:rPr>
              <w:t>)</w:t>
            </w:r>
          </w:p>
        </w:tc>
        <w:tc>
          <w:tcPr>
            <w:tcW w:w="736" w:type="pct"/>
            <w:tcBorders>
              <w:top w:val="nil"/>
              <w:left w:val="nil"/>
              <w:bottom w:val="single" w:sz="4" w:space="0" w:color="auto"/>
              <w:right w:val="single" w:sz="4" w:space="0" w:color="auto"/>
            </w:tcBorders>
            <w:noWrap/>
            <w:vAlign w:val="bottom"/>
            <w:hideMark/>
          </w:tcPr>
          <w:p w14:paraId="79DCC726" w14:textId="77777777"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1.066</w:t>
            </w:r>
          </w:p>
          <w:p w14:paraId="25D0F85D" w14:textId="6BBA3FA4"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r w:rsidR="003E7D46">
              <w:rPr>
                <w:rFonts w:eastAsia="Times New Roman" w:cs="Times New Roman"/>
                <w:color w:val="000000"/>
                <w:sz w:val="20"/>
                <w:szCs w:val="20"/>
              </w:rPr>
              <w:t>27.335</w:t>
            </w:r>
            <w:r w:rsidRPr="000D650F">
              <w:rPr>
                <w:rFonts w:eastAsia="Times New Roman" w:cs="Times New Roman"/>
                <w:color w:val="000000"/>
                <w:sz w:val="20"/>
                <w:szCs w:val="20"/>
              </w:rPr>
              <w:t>)</w:t>
            </w:r>
          </w:p>
        </w:tc>
        <w:tc>
          <w:tcPr>
            <w:tcW w:w="815" w:type="pct"/>
            <w:tcBorders>
              <w:top w:val="nil"/>
              <w:left w:val="nil"/>
              <w:bottom w:val="single" w:sz="4" w:space="0" w:color="auto"/>
              <w:right w:val="single" w:sz="4" w:space="0" w:color="auto"/>
            </w:tcBorders>
            <w:noWrap/>
            <w:vAlign w:val="bottom"/>
            <w:hideMark/>
          </w:tcPr>
          <w:p w14:paraId="5CD4CF7D" w14:textId="77777777"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0.342</w:t>
            </w:r>
          </w:p>
          <w:p w14:paraId="6B28E817" w14:textId="6A9B8E9E"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r w:rsidR="003E7D46">
              <w:rPr>
                <w:rFonts w:eastAsia="Times New Roman" w:cs="Times New Roman"/>
                <w:color w:val="000000"/>
                <w:sz w:val="20"/>
                <w:szCs w:val="20"/>
              </w:rPr>
              <w:t>2.333</w:t>
            </w:r>
            <w:r w:rsidRPr="000D650F">
              <w:rPr>
                <w:rFonts w:eastAsia="Times New Roman" w:cs="Times New Roman"/>
                <w:color w:val="000000"/>
                <w:sz w:val="20"/>
                <w:szCs w:val="20"/>
              </w:rPr>
              <w:t>)</w:t>
            </w:r>
          </w:p>
        </w:tc>
        <w:tc>
          <w:tcPr>
            <w:tcW w:w="620" w:type="pct"/>
            <w:tcBorders>
              <w:top w:val="nil"/>
              <w:left w:val="nil"/>
              <w:bottom w:val="single" w:sz="4" w:space="0" w:color="auto"/>
              <w:right w:val="single" w:sz="4" w:space="0" w:color="auto"/>
            </w:tcBorders>
            <w:noWrap/>
            <w:vAlign w:val="bottom"/>
            <w:hideMark/>
          </w:tcPr>
          <w:p w14:paraId="1B5CB9F6" w14:textId="77777777"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0.135</w:t>
            </w:r>
          </w:p>
          <w:p w14:paraId="4F56D2BB" w14:textId="7337B0FE"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(4.</w:t>
            </w:r>
            <w:r w:rsidR="003E7D46">
              <w:rPr>
                <w:rFonts w:eastAsia="Times New Roman" w:cs="Times New Roman"/>
                <w:color w:val="000000"/>
                <w:sz w:val="20"/>
                <w:szCs w:val="20"/>
              </w:rPr>
              <w:t>418</w:t>
            </w:r>
            <w:r w:rsidRPr="000D650F">
              <w:rPr>
                <w:rFonts w:eastAsia="Times New Roman" w:cs="Times New Roman"/>
                <w:color w:val="000000"/>
                <w:sz w:val="20"/>
                <w:szCs w:val="20"/>
              </w:rPr>
              <w:t>)</w:t>
            </w:r>
          </w:p>
        </w:tc>
        <w:tc>
          <w:tcPr>
            <w:tcW w:w="659" w:type="pct"/>
            <w:tcBorders>
              <w:top w:val="nil"/>
              <w:left w:val="nil"/>
              <w:bottom w:val="single" w:sz="4" w:space="0" w:color="auto"/>
              <w:right w:val="single" w:sz="4" w:space="0" w:color="auto"/>
            </w:tcBorders>
            <w:noWrap/>
            <w:vAlign w:val="bottom"/>
            <w:hideMark/>
          </w:tcPr>
          <w:p w14:paraId="50DF2AE5" w14:textId="77777777"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0.516</w:t>
            </w:r>
          </w:p>
          <w:p w14:paraId="1C7D80AA" w14:textId="1E75589D"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(1</w:t>
            </w:r>
            <w:r w:rsidR="003E7D46">
              <w:rPr>
                <w:rFonts w:eastAsia="Times New Roman" w:cs="Times New Roman"/>
                <w:color w:val="000000"/>
                <w:sz w:val="20"/>
                <w:szCs w:val="20"/>
              </w:rPr>
              <w:t>4</w:t>
            </w:r>
            <w:r w:rsidRPr="000D650F">
              <w:rPr>
                <w:rFonts w:eastAsia="Times New Roman" w:cs="Times New Roman"/>
                <w:color w:val="000000"/>
                <w:sz w:val="20"/>
                <w:szCs w:val="20"/>
              </w:rPr>
              <w:t>.</w:t>
            </w:r>
            <w:r w:rsidR="003E7D46">
              <w:rPr>
                <w:rFonts w:eastAsia="Times New Roman" w:cs="Times New Roman"/>
                <w:color w:val="000000"/>
                <w:sz w:val="20"/>
                <w:szCs w:val="20"/>
              </w:rPr>
              <w:t>783</w:t>
            </w:r>
            <w:r w:rsidRPr="000D650F">
              <w:rPr>
                <w:rFonts w:eastAsia="Times New Roman" w:cs="Times New Roman"/>
                <w:color w:val="000000"/>
                <w:sz w:val="20"/>
                <w:szCs w:val="20"/>
              </w:rPr>
              <w:t>)</w:t>
            </w:r>
          </w:p>
        </w:tc>
      </w:tr>
      <w:tr w:rsidR="00524FCE" w:rsidRPr="000D650F" w14:paraId="7F80B1E1"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2AD66F83" w14:textId="77777777" w:rsidR="00524FCE" w:rsidRPr="000D650F" w:rsidRDefault="00524FCE" w:rsidP="00B53A8B">
            <w:pPr>
              <w:spacing w:after="0"/>
              <w:jc w:val="center"/>
              <w:rPr>
                <w:rFonts w:eastAsia="Times New Roman" w:cs="Times New Roman"/>
                <w:b/>
                <w:bCs/>
                <w:i/>
                <w:iCs/>
                <w:color w:val="000000"/>
                <w:sz w:val="20"/>
                <w:szCs w:val="20"/>
              </w:rPr>
            </w:pPr>
            <w:r w:rsidRPr="000D650F">
              <w:rPr>
                <w:rFonts w:eastAsia="Times New Roman" w:cs="Times New Roman"/>
                <w:b/>
                <w:bCs/>
                <w:i/>
                <w:iCs/>
                <w:color w:val="000000"/>
                <w:sz w:val="20"/>
                <w:szCs w:val="20"/>
              </w:rPr>
              <w:t>Demographic Characteristics</w:t>
            </w:r>
          </w:p>
        </w:tc>
      </w:tr>
      <w:tr w:rsidR="00524FCE" w:rsidRPr="000D650F" w14:paraId="713F8D2A" w14:textId="77777777" w:rsidTr="00FD479E">
        <w:trPr>
          <w:trHeight w:val="290"/>
        </w:trPr>
        <w:tc>
          <w:tcPr>
            <w:tcW w:w="1438" w:type="pct"/>
            <w:tcBorders>
              <w:top w:val="nil"/>
              <w:left w:val="single" w:sz="4" w:space="0" w:color="auto"/>
              <w:bottom w:val="single" w:sz="4" w:space="0" w:color="auto"/>
              <w:right w:val="single" w:sz="4" w:space="0" w:color="auto"/>
            </w:tcBorders>
            <w:noWrap/>
            <w:vAlign w:val="center"/>
            <w:hideMark/>
          </w:tcPr>
          <w:p w14:paraId="0734F4E9"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 xml:space="preserve">Population </w:t>
            </w:r>
          </w:p>
        </w:tc>
        <w:tc>
          <w:tcPr>
            <w:tcW w:w="734" w:type="pct"/>
            <w:tcBorders>
              <w:top w:val="nil"/>
              <w:left w:val="nil"/>
              <w:bottom w:val="single" w:sz="4" w:space="0" w:color="auto"/>
              <w:right w:val="single" w:sz="4" w:space="0" w:color="auto"/>
            </w:tcBorders>
            <w:noWrap/>
            <w:vAlign w:val="bottom"/>
            <w:hideMark/>
          </w:tcPr>
          <w:p w14:paraId="15A43EFA" w14:textId="77777777"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0.119</w:t>
            </w:r>
          </w:p>
          <w:p w14:paraId="5910B65D" w14:textId="5FA72853"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r w:rsidR="003E7D46">
              <w:rPr>
                <w:rFonts w:eastAsia="Times New Roman" w:cs="Times New Roman"/>
                <w:color w:val="000000"/>
                <w:sz w:val="20"/>
                <w:szCs w:val="20"/>
              </w:rPr>
              <w:t>5.658</w:t>
            </w:r>
            <w:r w:rsidRPr="000D650F">
              <w:rPr>
                <w:rFonts w:eastAsia="Times New Roman" w:cs="Times New Roman"/>
                <w:color w:val="000000"/>
                <w:sz w:val="20"/>
                <w:szCs w:val="20"/>
              </w:rPr>
              <w:t>)</w:t>
            </w:r>
          </w:p>
        </w:tc>
        <w:tc>
          <w:tcPr>
            <w:tcW w:w="736" w:type="pct"/>
            <w:tcBorders>
              <w:top w:val="nil"/>
              <w:left w:val="nil"/>
              <w:bottom w:val="single" w:sz="4" w:space="0" w:color="auto"/>
              <w:right w:val="single" w:sz="4" w:space="0" w:color="auto"/>
            </w:tcBorders>
            <w:noWrap/>
            <w:vAlign w:val="bottom"/>
            <w:hideMark/>
          </w:tcPr>
          <w:p w14:paraId="7130FACE" w14:textId="77777777"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-2.762</w:t>
            </w:r>
          </w:p>
          <w:p w14:paraId="7F1295B0" w14:textId="2A5EEC73"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(-2</w:t>
            </w:r>
            <w:r w:rsidR="003E7D46">
              <w:rPr>
                <w:rFonts w:eastAsia="Times New Roman" w:cs="Times New Roman"/>
                <w:color w:val="000000"/>
                <w:sz w:val="20"/>
                <w:szCs w:val="20"/>
              </w:rPr>
              <w:t>5</w:t>
            </w:r>
            <w:r w:rsidRPr="000D650F">
              <w:rPr>
                <w:rFonts w:eastAsia="Times New Roman" w:cs="Times New Roman"/>
                <w:color w:val="000000"/>
                <w:sz w:val="20"/>
                <w:szCs w:val="20"/>
              </w:rPr>
              <w:t>.3</w:t>
            </w:r>
            <w:r w:rsidR="003E7D46">
              <w:rPr>
                <w:rFonts w:eastAsia="Times New Roman" w:cs="Times New Roman"/>
                <w:color w:val="000000"/>
                <w:sz w:val="20"/>
                <w:szCs w:val="20"/>
              </w:rPr>
              <w:t>35</w:t>
            </w:r>
            <w:r w:rsidRPr="000D650F">
              <w:rPr>
                <w:rFonts w:eastAsia="Times New Roman" w:cs="Times New Roman"/>
                <w:color w:val="000000"/>
                <w:sz w:val="20"/>
                <w:szCs w:val="20"/>
              </w:rPr>
              <w:t>)</w:t>
            </w:r>
          </w:p>
        </w:tc>
        <w:tc>
          <w:tcPr>
            <w:tcW w:w="815" w:type="pct"/>
            <w:tcBorders>
              <w:top w:val="nil"/>
              <w:left w:val="nil"/>
              <w:bottom w:val="single" w:sz="4" w:space="0" w:color="auto"/>
              <w:right w:val="single" w:sz="4" w:space="0" w:color="auto"/>
            </w:tcBorders>
            <w:noWrap/>
            <w:vAlign w:val="bottom"/>
            <w:hideMark/>
          </w:tcPr>
          <w:p w14:paraId="07056DAA" w14:textId="77777777"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-0.614</w:t>
            </w:r>
          </w:p>
          <w:p w14:paraId="764CB572" w14:textId="705185DC"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r w:rsidR="003E7D46">
              <w:rPr>
                <w:rFonts w:eastAsia="Times New Roman" w:cs="Times New Roman"/>
                <w:color w:val="000000"/>
                <w:sz w:val="20"/>
                <w:szCs w:val="20"/>
              </w:rPr>
              <w:t>2.580</w:t>
            </w:r>
            <w:r w:rsidRPr="000D650F">
              <w:rPr>
                <w:rFonts w:eastAsia="Times New Roman" w:cs="Times New Roman"/>
                <w:color w:val="000000"/>
                <w:sz w:val="20"/>
                <w:szCs w:val="20"/>
              </w:rPr>
              <w:t>)</w:t>
            </w:r>
          </w:p>
        </w:tc>
        <w:tc>
          <w:tcPr>
            <w:tcW w:w="620" w:type="pct"/>
            <w:tcBorders>
              <w:top w:val="nil"/>
              <w:left w:val="nil"/>
              <w:bottom w:val="single" w:sz="4" w:space="0" w:color="auto"/>
              <w:right w:val="single" w:sz="4" w:space="0" w:color="auto"/>
            </w:tcBorders>
            <w:noWrap/>
            <w:vAlign w:val="center"/>
            <w:hideMark/>
          </w:tcPr>
          <w:p w14:paraId="77D9DA6F"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59" w:type="pct"/>
            <w:tcBorders>
              <w:top w:val="nil"/>
              <w:left w:val="nil"/>
              <w:bottom w:val="single" w:sz="4" w:space="0" w:color="auto"/>
              <w:right w:val="single" w:sz="4" w:space="0" w:color="auto"/>
            </w:tcBorders>
            <w:noWrap/>
            <w:vAlign w:val="center"/>
            <w:hideMark/>
          </w:tcPr>
          <w:p w14:paraId="7B9DD69F"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r>
      <w:tr w:rsidR="00524FCE" w:rsidRPr="000D650F" w14:paraId="20F7F2C8" w14:textId="77777777" w:rsidTr="00FD479E">
        <w:trPr>
          <w:trHeight w:val="290"/>
        </w:trPr>
        <w:tc>
          <w:tcPr>
            <w:tcW w:w="1438" w:type="pct"/>
            <w:tcBorders>
              <w:top w:val="single" w:sz="4" w:space="0" w:color="auto"/>
              <w:left w:val="single" w:sz="4" w:space="0" w:color="auto"/>
              <w:bottom w:val="single" w:sz="4" w:space="0" w:color="auto"/>
              <w:right w:val="single" w:sz="4" w:space="0" w:color="auto"/>
            </w:tcBorders>
            <w:noWrap/>
            <w:vAlign w:val="center"/>
            <w:hideMark/>
          </w:tcPr>
          <w:p w14:paraId="2E178AC1"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Median Income</w:t>
            </w:r>
          </w:p>
        </w:tc>
        <w:tc>
          <w:tcPr>
            <w:tcW w:w="734" w:type="pct"/>
            <w:tcBorders>
              <w:top w:val="single" w:sz="4" w:space="0" w:color="auto"/>
              <w:left w:val="nil"/>
              <w:bottom w:val="single" w:sz="4" w:space="0" w:color="auto"/>
              <w:right w:val="single" w:sz="4" w:space="0" w:color="auto"/>
            </w:tcBorders>
            <w:noWrap/>
            <w:vAlign w:val="bottom"/>
            <w:hideMark/>
          </w:tcPr>
          <w:p w14:paraId="5832E9C0" w14:textId="77777777"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3.581</w:t>
            </w:r>
          </w:p>
          <w:p w14:paraId="343E4A36" w14:textId="66D7E19A"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r w:rsidR="003E7D46">
              <w:rPr>
                <w:rFonts w:eastAsia="Times New Roman" w:cs="Times New Roman"/>
                <w:color w:val="000000"/>
                <w:sz w:val="20"/>
                <w:szCs w:val="20"/>
              </w:rPr>
              <w:t>7.751</w:t>
            </w:r>
            <w:r w:rsidRPr="000D650F">
              <w:rPr>
                <w:rFonts w:eastAsia="Times New Roman" w:cs="Times New Roman"/>
                <w:color w:val="000000"/>
                <w:sz w:val="20"/>
                <w:szCs w:val="20"/>
              </w:rPr>
              <w:t>)</w:t>
            </w:r>
          </w:p>
        </w:tc>
        <w:tc>
          <w:tcPr>
            <w:tcW w:w="736" w:type="pct"/>
            <w:tcBorders>
              <w:top w:val="single" w:sz="4" w:space="0" w:color="auto"/>
              <w:left w:val="nil"/>
              <w:bottom w:val="single" w:sz="4" w:space="0" w:color="auto"/>
              <w:right w:val="single" w:sz="4" w:space="0" w:color="auto"/>
            </w:tcBorders>
            <w:noWrap/>
            <w:vAlign w:val="bottom"/>
            <w:hideMark/>
          </w:tcPr>
          <w:p w14:paraId="54B1BCD4"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815" w:type="pct"/>
            <w:tcBorders>
              <w:top w:val="single" w:sz="4" w:space="0" w:color="auto"/>
              <w:left w:val="nil"/>
              <w:bottom w:val="single" w:sz="4" w:space="0" w:color="auto"/>
              <w:right w:val="single" w:sz="4" w:space="0" w:color="auto"/>
            </w:tcBorders>
            <w:noWrap/>
            <w:vAlign w:val="bottom"/>
            <w:hideMark/>
          </w:tcPr>
          <w:p w14:paraId="41A5E83B"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20" w:type="pct"/>
            <w:tcBorders>
              <w:top w:val="single" w:sz="4" w:space="0" w:color="auto"/>
              <w:left w:val="nil"/>
              <w:bottom w:val="single" w:sz="4" w:space="0" w:color="auto"/>
              <w:right w:val="single" w:sz="4" w:space="0" w:color="auto"/>
            </w:tcBorders>
            <w:noWrap/>
            <w:vAlign w:val="center"/>
            <w:hideMark/>
          </w:tcPr>
          <w:p w14:paraId="14CB09C3"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59" w:type="pct"/>
            <w:tcBorders>
              <w:top w:val="single" w:sz="4" w:space="0" w:color="auto"/>
              <w:left w:val="nil"/>
              <w:bottom w:val="single" w:sz="4" w:space="0" w:color="auto"/>
              <w:right w:val="single" w:sz="4" w:space="0" w:color="auto"/>
            </w:tcBorders>
            <w:noWrap/>
            <w:vAlign w:val="center"/>
            <w:hideMark/>
          </w:tcPr>
          <w:p w14:paraId="4C4227A6"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r>
      <w:tr w:rsidR="00524FCE" w:rsidRPr="000D650F" w14:paraId="524E1006"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6329B693"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Education status (Base: High)</w:t>
            </w:r>
          </w:p>
        </w:tc>
      </w:tr>
      <w:tr w:rsidR="00524FCE" w:rsidRPr="000D650F" w14:paraId="104BAD22" w14:textId="77777777" w:rsidTr="00524FCE">
        <w:trPr>
          <w:trHeight w:val="290"/>
        </w:trPr>
        <w:tc>
          <w:tcPr>
            <w:tcW w:w="1438" w:type="pct"/>
            <w:tcBorders>
              <w:top w:val="nil"/>
              <w:left w:val="single" w:sz="4" w:space="0" w:color="auto"/>
              <w:bottom w:val="single" w:sz="4" w:space="0" w:color="auto"/>
              <w:right w:val="single" w:sz="4" w:space="0" w:color="auto"/>
            </w:tcBorders>
            <w:noWrap/>
            <w:vAlign w:val="center"/>
            <w:hideMark/>
          </w:tcPr>
          <w:p w14:paraId="17C9A23B"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Low</w:t>
            </w:r>
          </w:p>
        </w:tc>
        <w:tc>
          <w:tcPr>
            <w:tcW w:w="734" w:type="pct"/>
            <w:tcBorders>
              <w:top w:val="nil"/>
              <w:left w:val="nil"/>
              <w:bottom w:val="single" w:sz="4" w:space="0" w:color="auto"/>
              <w:right w:val="single" w:sz="4" w:space="0" w:color="auto"/>
            </w:tcBorders>
            <w:noWrap/>
            <w:vAlign w:val="bottom"/>
            <w:hideMark/>
          </w:tcPr>
          <w:p w14:paraId="2D616210" w14:textId="77777777"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-0.682</w:t>
            </w:r>
          </w:p>
          <w:p w14:paraId="0BFBD53C" w14:textId="6017BF58"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r w:rsidR="003E7D46">
              <w:rPr>
                <w:rFonts w:eastAsia="Times New Roman" w:cs="Times New Roman"/>
                <w:color w:val="000000"/>
                <w:sz w:val="20"/>
                <w:szCs w:val="20"/>
              </w:rPr>
              <w:t>12.121</w:t>
            </w:r>
            <w:r w:rsidRPr="000D650F">
              <w:rPr>
                <w:rFonts w:eastAsia="Times New Roman" w:cs="Times New Roman"/>
                <w:color w:val="000000"/>
                <w:sz w:val="20"/>
                <w:szCs w:val="20"/>
              </w:rPr>
              <w:t>)</w:t>
            </w:r>
          </w:p>
        </w:tc>
        <w:tc>
          <w:tcPr>
            <w:tcW w:w="736" w:type="pct"/>
            <w:tcBorders>
              <w:top w:val="nil"/>
              <w:left w:val="nil"/>
              <w:bottom w:val="single" w:sz="4" w:space="0" w:color="auto"/>
              <w:right w:val="single" w:sz="4" w:space="0" w:color="auto"/>
            </w:tcBorders>
            <w:noWrap/>
            <w:vAlign w:val="bottom"/>
            <w:hideMark/>
          </w:tcPr>
          <w:p w14:paraId="573014F8" w14:textId="77777777" w:rsidR="00524FCE" w:rsidRPr="000D650F" w:rsidRDefault="00524FCE" w:rsidP="00B53A8B">
            <w:pPr>
              <w:spacing w:after="0"/>
              <w:rPr>
                <w:rFonts w:ascii="Calibri" w:eastAsia="Times New Roman" w:hAnsi="Calibri" w:cs="Calibri"/>
                <w:color w:val="000000"/>
                <w:sz w:val="22"/>
              </w:rPr>
            </w:pPr>
            <w:r w:rsidRPr="000D650F">
              <w:rPr>
                <w:rFonts w:ascii="Calibri" w:eastAsia="Times New Roman" w:hAnsi="Calibri" w:cs="Calibri"/>
                <w:color w:val="000000"/>
                <w:sz w:val="22"/>
              </w:rPr>
              <w:t>--</w:t>
            </w:r>
          </w:p>
        </w:tc>
        <w:tc>
          <w:tcPr>
            <w:tcW w:w="815" w:type="pct"/>
            <w:tcBorders>
              <w:top w:val="nil"/>
              <w:left w:val="nil"/>
              <w:bottom w:val="single" w:sz="4" w:space="0" w:color="auto"/>
              <w:right w:val="single" w:sz="4" w:space="0" w:color="auto"/>
            </w:tcBorders>
            <w:noWrap/>
            <w:vAlign w:val="center"/>
            <w:hideMark/>
          </w:tcPr>
          <w:p w14:paraId="6AA15472"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20" w:type="pct"/>
            <w:tcBorders>
              <w:top w:val="nil"/>
              <w:left w:val="nil"/>
              <w:bottom w:val="single" w:sz="4" w:space="0" w:color="auto"/>
              <w:right w:val="single" w:sz="4" w:space="0" w:color="auto"/>
            </w:tcBorders>
            <w:noWrap/>
            <w:vAlign w:val="center"/>
            <w:hideMark/>
          </w:tcPr>
          <w:p w14:paraId="4A3177E6"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59" w:type="pct"/>
            <w:tcBorders>
              <w:top w:val="nil"/>
              <w:left w:val="nil"/>
              <w:bottom w:val="single" w:sz="4" w:space="0" w:color="auto"/>
              <w:right w:val="single" w:sz="4" w:space="0" w:color="auto"/>
            </w:tcBorders>
            <w:noWrap/>
            <w:vAlign w:val="center"/>
            <w:hideMark/>
          </w:tcPr>
          <w:p w14:paraId="66D18E44"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r>
      <w:tr w:rsidR="00524FCE" w:rsidRPr="000D650F" w14:paraId="53A6B6A4"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423DB071" w14:textId="77777777" w:rsidR="00524FCE" w:rsidRPr="000D650F" w:rsidRDefault="00524FCE" w:rsidP="00B53A8B">
            <w:pPr>
              <w:spacing w:after="0"/>
              <w:jc w:val="center"/>
              <w:rPr>
                <w:rFonts w:eastAsia="Times New Roman" w:cs="Times New Roman"/>
                <w:b/>
                <w:bCs/>
                <w:i/>
                <w:iCs/>
                <w:color w:val="000000"/>
                <w:sz w:val="20"/>
                <w:szCs w:val="20"/>
              </w:rPr>
            </w:pPr>
            <w:r w:rsidRPr="000D650F">
              <w:rPr>
                <w:rFonts w:eastAsia="Times New Roman" w:cs="Times New Roman"/>
                <w:b/>
                <w:bCs/>
                <w:i/>
                <w:iCs/>
                <w:color w:val="000000"/>
                <w:sz w:val="20"/>
                <w:szCs w:val="20"/>
              </w:rPr>
              <w:t>Built Environment Factors</w:t>
            </w:r>
          </w:p>
        </w:tc>
      </w:tr>
      <w:tr w:rsidR="00524FCE" w:rsidRPr="000D650F" w14:paraId="3E467DE1" w14:textId="77777777" w:rsidTr="00524FCE">
        <w:trPr>
          <w:trHeight w:val="290"/>
        </w:trPr>
        <w:tc>
          <w:tcPr>
            <w:tcW w:w="1438" w:type="pct"/>
            <w:tcBorders>
              <w:top w:val="nil"/>
              <w:left w:val="single" w:sz="4" w:space="0" w:color="auto"/>
              <w:bottom w:val="single" w:sz="4" w:space="0" w:color="auto"/>
              <w:right w:val="single" w:sz="4" w:space="0" w:color="auto"/>
            </w:tcBorders>
            <w:noWrap/>
            <w:vAlign w:val="center"/>
            <w:hideMark/>
          </w:tcPr>
          <w:p w14:paraId="3DB99861"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No. of airports</w:t>
            </w:r>
          </w:p>
        </w:tc>
        <w:tc>
          <w:tcPr>
            <w:tcW w:w="734" w:type="pct"/>
            <w:tcBorders>
              <w:top w:val="nil"/>
              <w:left w:val="nil"/>
              <w:bottom w:val="single" w:sz="4" w:space="0" w:color="auto"/>
              <w:right w:val="single" w:sz="4" w:space="0" w:color="auto"/>
            </w:tcBorders>
            <w:noWrap/>
            <w:vAlign w:val="bottom"/>
            <w:hideMark/>
          </w:tcPr>
          <w:p w14:paraId="1417A32C" w14:textId="77777777"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0.653</w:t>
            </w:r>
          </w:p>
          <w:p w14:paraId="69DB91F8" w14:textId="372C24AA"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r w:rsidR="003E7D46">
              <w:rPr>
                <w:rFonts w:eastAsia="Times New Roman" w:cs="Times New Roman"/>
                <w:color w:val="000000"/>
                <w:sz w:val="20"/>
                <w:szCs w:val="20"/>
              </w:rPr>
              <w:t>13.626</w:t>
            </w:r>
            <w:r w:rsidRPr="000D650F">
              <w:rPr>
                <w:rFonts w:eastAsia="Times New Roman" w:cs="Times New Roman"/>
                <w:color w:val="000000"/>
                <w:sz w:val="20"/>
                <w:szCs w:val="20"/>
              </w:rPr>
              <w:t>)</w:t>
            </w:r>
          </w:p>
        </w:tc>
        <w:tc>
          <w:tcPr>
            <w:tcW w:w="736" w:type="pct"/>
            <w:tcBorders>
              <w:top w:val="nil"/>
              <w:left w:val="nil"/>
              <w:bottom w:val="single" w:sz="4" w:space="0" w:color="auto"/>
              <w:right w:val="single" w:sz="4" w:space="0" w:color="auto"/>
            </w:tcBorders>
            <w:noWrap/>
            <w:vAlign w:val="bottom"/>
            <w:hideMark/>
          </w:tcPr>
          <w:p w14:paraId="277BBFC5" w14:textId="77777777" w:rsidR="00524FCE" w:rsidRPr="000D650F" w:rsidRDefault="00524FCE" w:rsidP="00B53A8B">
            <w:pPr>
              <w:spacing w:after="0"/>
              <w:rPr>
                <w:rFonts w:ascii="Calibri" w:eastAsia="Times New Roman" w:hAnsi="Calibri" w:cs="Calibri"/>
                <w:color w:val="000000"/>
                <w:sz w:val="22"/>
              </w:rPr>
            </w:pPr>
            <w:r w:rsidRPr="000D650F">
              <w:rPr>
                <w:rFonts w:ascii="Calibri" w:eastAsia="Times New Roman" w:hAnsi="Calibri" w:cs="Calibri"/>
                <w:color w:val="000000"/>
                <w:sz w:val="22"/>
              </w:rPr>
              <w:t>--</w:t>
            </w:r>
          </w:p>
        </w:tc>
        <w:tc>
          <w:tcPr>
            <w:tcW w:w="815" w:type="pct"/>
            <w:tcBorders>
              <w:top w:val="nil"/>
              <w:left w:val="nil"/>
              <w:bottom w:val="single" w:sz="4" w:space="0" w:color="auto"/>
              <w:right w:val="single" w:sz="4" w:space="0" w:color="auto"/>
            </w:tcBorders>
            <w:noWrap/>
            <w:vAlign w:val="center"/>
            <w:hideMark/>
          </w:tcPr>
          <w:p w14:paraId="5178B8E4"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20" w:type="pct"/>
            <w:tcBorders>
              <w:top w:val="nil"/>
              <w:left w:val="nil"/>
              <w:bottom w:val="single" w:sz="4" w:space="0" w:color="auto"/>
              <w:right w:val="single" w:sz="4" w:space="0" w:color="auto"/>
            </w:tcBorders>
            <w:noWrap/>
            <w:vAlign w:val="center"/>
            <w:hideMark/>
          </w:tcPr>
          <w:p w14:paraId="1F59D1E1"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59" w:type="pct"/>
            <w:tcBorders>
              <w:top w:val="nil"/>
              <w:left w:val="nil"/>
              <w:bottom w:val="single" w:sz="4" w:space="0" w:color="auto"/>
              <w:right w:val="single" w:sz="4" w:space="0" w:color="auto"/>
            </w:tcBorders>
            <w:noWrap/>
            <w:vAlign w:val="center"/>
            <w:hideMark/>
          </w:tcPr>
          <w:p w14:paraId="53D5706A"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r>
      <w:tr w:rsidR="00524FCE" w:rsidRPr="000D650F" w14:paraId="18E11E2C"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315805BE"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 xml:space="preserve">Tourism ranking (Base: </w:t>
            </w:r>
            <w:r>
              <w:rPr>
                <w:rFonts w:eastAsia="Times New Roman" w:cs="Times New Roman"/>
                <w:color w:val="000000"/>
                <w:sz w:val="20"/>
                <w:szCs w:val="20"/>
              </w:rPr>
              <w:t>O</w:t>
            </w:r>
            <w:r w:rsidRPr="000D650F">
              <w:rPr>
                <w:rFonts w:eastAsia="Times New Roman" w:cs="Times New Roman"/>
                <w:color w:val="000000"/>
                <w:sz w:val="20"/>
                <w:szCs w:val="20"/>
              </w:rPr>
              <w:t>ther)</w:t>
            </w:r>
          </w:p>
        </w:tc>
      </w:tr>
      <w:tr w:rsidR="00524FCE" w:rsidRPr="000D650F" w14:paraId="092591C8" w14:textId="77777777" w:rsidTr="00524FCE">
        <w:trPr>
          <w:trHeight w:val="290"/>
        </w:trPr>
        <w:tc>
          <w:tcPr>
            <w:tcW w:w="1438" w:type="pct"/>
            <w:tcBorders>
              <w:top w:val="nil"/>
              <w:left w:val="single" w:sz="4" w:space="0" w:color="auto"/>
              <w:bottom w:val="single" w:sz="4" w:space="0" w:color="auto"/>
              <w:right w:val="single" w:sz="4" w:space="0" w:color="auto"/>
            </w:tcBorders>
            <w:noWrap/>
            <w:vAlign w:val="center"/>
            <w:hideMark/>
          </w:tcPr>
          <w:p w14:paraId="0F4F30CA"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 xml:space="preserve">Top 10 </w:t>
            </w:r>
          </w:p>
        </w:tc>
        <w:tc>
          <w:tcPr>
            <w:tcW w:w="734" w:type="pct"/>
            <w:tcBorders>
              <w:top w:val="nil"/>
              <w:left w:val="nil"/>
              <w:bottom w:val="single" w:sz="4" w:space="0" w:color="auto"/>
              <w:right w:val="single" w:sz="4" w:space="0" w:color="auto"/>
            </w:tcBorders>
            <w:noWrap/>
            <w:vAlign w:val="bottom"/>
            <w:hideMark/>
          </w:tcPr>
          <w:p w14:paraId="6C0F6EB3" w14:textId="77777777"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0.274</w:t>
            </w:r>
          </w:p>
          <w:p w14:paraId="2716C782" w14:textId="0F0CE03A"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(4.0</w:t>
            </w:r>
            <w:r w:rsidR="003E7D46">
              <w:rPr>
                <w:rFonts w:eastAsia="Times New Roman" w:cs="Times New Roman"/>
                <w:color w:val="000000"/>
                <w:sz w:val="20"/>
                <w:szCs w:val="20"/>
              </w:rPr>
              <w:t>87</w:t>
            </w:r>
            <w:r w:rsidRPr="000D650F">
              <w:rPr>
                <w:rFonts w:eastAsia="Times New Roman" w:cs="Times New Roman"/>
                <w:color w:val="000000"/>
                <w:sz w:val="20"/>
                <w:szCs w:val="20"/>
              </w:rPr>
              <w:t>)</w:t>
            </w:r>
          </w:p>
        </w:tc>
        <w:tc>
          <w:tcPr>
            <w:tcW w:w="736" w:type="pct"/>
            <w:tcBorders>
              <w:top w:val="nil"/>
              <w:left w:val="nil"/>
              <w:bottom w:val="single" w:sz="4" w:space="0" w:color="auto"/>
              <w:right w:val="single" w:sz="4" w:space="0" w:color="auto"/>
            </w:tcBorders>
            <w:noWrap/>
            <w:vAlign w:val="bottom"/>
            <w:hideMark/>
          </w:tcPr>
          <w:p w14:paraId="2FF09115" w14:textId="77777777" w:rsidR="00524FCE" w:rsidRPr="000D650F" w:rsidRDefault="00524FCE" w:rsidP="00B53A8B">
            <w:pPr>
              <w:spacing w:after="0"/>
              <w:rPr>
                <w:rFonts w:ascii="Calibri" w:eastAsia="Times New Roman" w:hAnsi="Calibri" w:cs="Calibri"/>
                <w:color w:val="000000"/>
                <w:sz w:val="22"/>
              </w:rPr>
            </w:pPr>
            <w:r w:rsidRPr="000D650F">
              <w:rPr>
                <w:rFonts w:ascii="Calibri" w:eastAsia="Times New Roman" w:hAnsi="Calibri" w:cs="Calibri"/>
                <w:color w:val="000000"/>
                <w:sz w:val="22"/>
              </w:rPr>
              <w:t>--</w:t>
            </w:r>
          </w:p>
        </w:tc>
        <w:tc>
          <w:tcPr>
            <w:tcW w:w="815" w:type="pct"/>
            <w:tcBorders>
              <w:top w:val="nil"/>
              <w:left w:val="nil"/>
              <w:bottom w:val="single" w:sz="4" w:space="0" w:color="auto"/>
              <w:right w:val="single" w:sz="4" w:space="0" w:color="auto"/>
            </w:tcBorders>
            <w:noWrap/>
            <w:vAlign w:val="center"/>
            <w:hideMark/>
          </w:tcPr>
          <w:p w14:paraId="3AFA97B7"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20" w:type="pct"/>
            <w:tcBorders>
              <w:top w:val="nil"/>
              <w:left w:val="nil"/>
              <w:bottom w:val="single" w:sz="4" w:space="0" w:color="auto"/>
              <w:right w:val="single" w:sz="4" w:space="0" w:color="auto"/>
            </w:tcBorders>
            <w:noWrap/>
            <w:vAlign w:val="center"/>
            <w:hideMark/>
          </w:tcPr>
          <w:p w14:paraId="3A9B0D17"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59" w:type="pct"/>
            <w:tcBorders>
              <w:top w:val="nil"/>
              <w:left w:val="nil"/>
              <w:bottom w:val="single" w:sz="4" w:space="0" w:color="auto"/>
              <w:right w:val="single" w:sz="4" w:space="0" w:color="auto"/>
            </w:tcBorders>
            <w:noWrap/>
            <w:vAlign w:val="bottom"/>
            <w:hideMark/>
          </w:tcPr>
          <w:p w14:paraId="6951FB60"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r>
      <w:tr w:rsidR="00524FCE" w:rsidRPr="000D650F" w14:paraId="68FF5B03"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01565B75" w14:textId="77777777" w:rsidR="00524FCE" w:rsidRPr="000D650F" w:rsidRDefault="00524FCE" w:rsidP="00B53A8B">
            <w:pPr>
              <w:spacing w:after="0"/>
              <w:jc w:val="center"/>
              <w:rPr>
                <w:rFonts w:eastAsia="Times New Roman" w:cs="Times New Roman"/>
                <w:b/>
                <w:bCs/>
                <w:i/>
                <w:iCs/>
                <w:color w:val="000000"/>
                <w:sz w:val="20"/>
                <w:szCs w:val="20"/>
              </w:rPr>
            </w:pPr>
            <w:r w:rsidRPr="000D650F">
              <w:rPr>
                <w:rFonts w:eastAsia="Times New Roman" w:cs="Times New Roman"/>
                <w:b/>
                <w:bCs/>
                <w:i/>
                <w:iCs/>
                <w:color w:val="000000"/>
                <w:sz w:val="20"/>
                <w:szCs w:val="20"/>
              </w:rPr>
              <w:t>Spatial Factors</w:t>
            </w:r>
          </w:p>
        </w:tc>
      </w:tr>
      <w:tr w:rsidR="00524FCE" w:rsidRPr="000D650F" w14:paraId="47C34B04"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2753752F"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 xml:space="preserve">Region (Base: </w:t>
            </w:r>
            <w:r>
              <w:rPr>
                <w:rFonts w:eastAsia="Times New Roman" w:cs="Times New Roman"/>
                <w:color w:val="000000"/>
                <w:sz w:val="20"/>
                <w:szCs w:val="20"/>
              </w:rPr>
              <w:t>O</w:t>
            </w:r>
            <w:r w:rsidRPr="000D650F">
              <w:rPr>
                <w:rFonts w:eastAsia="Times New Roman" w:cs="Times New Roman"/>
                <w:color w:val="000000"/>
                <w:sz w:val="20"/>
                <w:szCs w:val="20"/>
              </w:rPr>
              <w:t>ther regions)</w:t>
            </w:r>
          </w:p>
        </w:tc>
      </w:tr>
      <w:tr w:rsidR="00524FCE" w:rsidRPr="000D650F" w14:paraId="0804CAEA" w14:textId="77777777" w:rsidTr="00524FCE">
        <w:trPr>
          <w:trHeight w:val="290"/>
        </w:trPr>
        <w:tc>
          <w:tcPr>
            <w:tcW w:w="1438" w:type="pct"/>
            <w:tcBorders>
              <w:top w:val="nil"/>
              <w:left w:val="single" w:sz="4" w:space="0" w:color="auto"/>
              <w:bottom w:val="single" w:sz="4" w:space="0" w:color="auto"/>
              <w:right w:val="single" w:sz="4" w:space="0" w:color="auto"/>
            </w:tcBorders>
            <w:noWrap/>
            <w:vAlign w:val="center"/>
            <w:hideMark/>
          </w:tcPr>
          <w:p w14:paraId="2A21A21C"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South</w:t>
            </w:r>
          </w:p>
        </w:tc>
        <w:tc>
          <w:tcPr>
            <w:tcW w:w="734" w:type="pct"/>
            <w:tcBorders>
              <w:top w:val="nil"/>
              <w:left w:val="nil"/>
              <w:bottom w:val="single" w:sz="4" w:space="0" w:color="auto"/>
              <w:right w:val="single" w:sz="4" w:space="0" w:color="auto"/>
            </w:tcBorders>
            <w:noWrap/>
            <w:vAlign w:val="bottom"/>
            <w:hideMark/>
          </w:tcPr>
          <w:p w14:paraId="6754D4DA" w14:textId="134BE8BD" w:rsidR="00524FCE"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0.70</w:t>
            </w:r>
            <w:r w:rsidR="003E7D46">
              <w:rPr>
                <w:rFonts w:eastAsia="Times New Roman" w:cs="Times New Roman"/>
                <w:color w:val="000000"/>
                <w:sz w:val="20"/>
                <w:szCs w:val="20"/>
              </w:rPr>
              <w:t>5</w:t>
            </w:r>
          </w:p>
          <w:p w14:paraId="3C769061" w14:textId="16E2508F"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(1</w:t>
            </w:r>
            <w:r w:rsidR="003E7D46">
              <w:rPr>
                <w:rFonts w:eastAsia="Times New Roman" w:cs="Times New Roman"/>
                <w:color w:val="000000"/>
                <w:sz w:val="20"/>
                <w:szCs w:val="20"/>
              </w:rPr>
              <w:t>2.224</w:t>
            </w:r>
            <w:r w:rsidRPr="000D650F">
              <w:rPr>
                <w:rFonts w:eastAsia="Times New Roman" w:cs="Times New Roman"/>
                <w:color w:val="000000"/>
                <w:sz w:val="20"/>
                <w:szCs w:val="20"/>
              </w:rPr>
              <w:t>)</w:t>
            </w:r>
          </w:p>
        </w:tc>
        <w:tc>
          <w:tcPr>
            <w:tcW w:w="736" w:type="pct"/>
            <w:tcBorders>
              <w:top w:val="nil"/>
              <w:left w:val="nil"/>
              <w:bottom w:val="single" w:sz="4" w:space="0" w:color="auto"/>
              <w:right w:val="single" w:sz="4" w:space="0" w:color="auto"/>
            </w:tcBorders>
            <w:noWrap/>
            <w:vAlign w:val="bottom"/>
            <w:hideMark/>
          </w:tcPr>
          <w:p w14:paraId="2B8DA345" w14:textId="77777777" w:rsidR="00524FCE" w:rsidRPr="000D650F" w:rsidRDefault="00524FCE" w:rsidP="00B53A8B">
            <w:pPr>
              <w:spacing w:after="0"/>
              <w:rPr>
                <w:rFonts w:ascii="Calibri" w:eastAsia="Times New Roman" w:hAnsi="Calibri" w:cs="Calibri"/>
                <w:color w:val="000000"/>
                <w:sz w:val="22"/>
              </w:rPr>
            </w:pPr>
            <w:r w:rsidRPr="000D650F">
              <w:rPr>
                <w:rFonts w:ascii="Calibri" w:eastAsia="Times New Roman" w:hAnsi="Calibri" w:cs="Calibri"/>
                <w:color w:val="000000"/>
                <w:sz w:val="22"/>
              </w:rPr>
              <w:t>--</w:t>
            </w:r>
          </w:p>
        </w:tc>
        <w:tc>
          <w:tcPr>
            <w:tcW w:w="815" w:type="pct"/>
            <w:tcBorders>
              <w:top w:val="nil"/>
              <w:left w:val="nil"/>
              <w:bottom w:val="single" w:sz="4" w:space="0" w:color="auto"/>
              <w:right w:val="single" w:sz="4" w:space="0" w:color="auto"/>
            </w:tcBorders>
            <w:noWrap/>
            <w:vAlign w:val="center"/>
            <w:hideMark/>
          </w:tcPr>
          <w:p w14:paraId="73BD5339"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20" w:type="pct"/>
            <w:tcBorders>
              <w:top w:val="nil"/>
              <w:left w:val="nil"/>
              <w:bottom w:val="single" w:sz="4" w:space="0" w:color="auto"/>
              <w:right w:val="single" w:sz="4" w:space="0" w:color="auto"/>
            </w:tcBorders>
            <w:noWrap/>
            <w:vAlign w:val="center"/>
            <w:hideMark/>
          </w:tcPr>
          <w:p w14:paraId="412EA4A6"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c>
          <w:tcPr>
            <w:tcW w:w="659" w:type="pct"/>
            <w:tcBorders>
              <w:top w:val="nil"/>
              <w:left w:val="nil"/>
              <w:bottom w:val="single" w:sz="4" w:space="0" w:color="auto"/>
              <w:right w:val="single" w:sz="4" w:space="0" w:color="auto"/>
            </w:tcBorders>
            <w:noWrap/>
            <w:vAlign w:val="center"/>
            <w:hideMark/>
          </w:tcPr>
          <w:p w14:paraId="356F405C" w14:textId="77777777" w:rsidR="00524FCE" w:rsidRPr="000D650F" w:rsidRDefault="00524FCE" w:rsidP="00B53A8B">
            <w:pPr>
              <w:spacing w:after="0"/>
              <w:rPr>
                <w:rFonts w:eastAsia="Times New Roman" w:cs="Times New Roman"/>
                <w:color w:val="000000"/>
                <w:sz w:val="20"/>
                <w:szCs w:val="20"/>
              </w:rPr>
            </w:pPr>
            <w:r w:rsidRPr="000D650F">
              <w:rPr>
                <w:rFonts w:eastAsia="Times New Roman" w:cs="Times New Roman"/>
                <w:color w:val="000000"/>
                <w:sz w:val="20"/>
                <w:szCs w:val="20"/>
              </w:rPr>
              <w:t>--</w:t>
            </w:r>
          </w:p>
        </w:tc>
      </w:tr>
    </w:tbl>
    <w:p w14:paraId="06E2247F" w14:textId="77777777" w:rsidR="0048267F" w:rsidRDefault="0048267F" w:rsidP="0062550B">
      <w:pPr>
        <w:jc w:val="both"/>
      </w:pPr>
    </w:p>
    <w:p w14:paraId="5E74D7F0" w14:textId="46034545" w:rsidR="00C47B0C" w:rsidRPr="00FE6EAA" w:rsidRDefault="00C47B0C" w:rsidP="00B21705">
      <w:pPr>
        <w:jc w:val="both"/>
        <w:rPr>
          <w:b/>
          <w:bCs/>
        </w:rPr>
      </w:pPr>
      <w:r w:rsidRPr="00FE6EAA">
        <w:rPr>
          <w:b/>
          <w:bCs/>
        </w:rPr>
        <w:t xml:space="preserve">TABLE </w:t>
      </w:r>
      <w:r w:rsidR="00AE0B07">
        <w:rPr>
          <w:b/>
          <w:bCs/>
        </w:rPr>
        <w:t>5</w:t>
      </w:r>
      <w:r w:rsidRPr="00FE6EAA">
        <w:rPr>
          <w:b/>
          <w:bCs/>
        </w:rPr>
        <w:t xml:space="preserve"> </w:t>
      </w:r>
      <w:r w:rsidR="00EA1D65">
        <w:rPr>
          <w:b/>
          <w:bCs/>
        </w:rPr>
        <w:t>Mixed Generalized Ordered Logit</w:t>
      </w:r>
      <w:r w:rsidRPr="00FE6EAA">
        <w:rPr>
          <w:b/>
          <w:bCs/>
        </w:rPr>
        <w:t xml:space="preserve"> Model</w:t>
      </w:r>
    </w:p>
    <w:tbl>
      <w:tblPr>
        <w:tblW w:w="5000" w:type="pct"/>
        <w:tblLook w:val="04A0" w:firstRow="1" w:lastRow="0" w:firstColumn="1" w:lastColumn="0" w:noHBand="0" w:noVBand="1"/>
      </w:tblPr>
      <w:tblGrid>
        <w:gridCol w:w="1973"/>
        <w:gridCol w:w="1700"/>
        <w:gridCol w:w="1427"/>
        <w:gridCol w:w="1428"/>
        <w:gridCol w:w="1411"/>
        <w:gridCol w:w="1411"/>
      </w:tblGrid>
      <w:tr w:rsidR="008D1188" w:rsidRPr="00A1756A" w14:paraId="372F32C0" w14:textId="77777777" w:rsidTr="00524FCE">
        <w:trPr>
          <w:trHeight w:val="290"/>
        </w:trPr>
        <w:tc>
          <w:tcPr>
            <w:tcW w:w="1070" w:type="pct"/>
            <w:tcBorders>
              <w:top w:val="single" w:sz="4" w:space="0" w:color="auto"/>
              <w:left w:val="single" w:sz="4" w:space="0" w:color="auto"/>
              <w:bottom w:val="single" w:sz="4" w:space="0" w:color="auto"/>
              <w:right w:val="single" w:sz="4" w:space="0" w:color="auto"/>
            </w:tcBorders>
            <w:noWrap/>
            <w:vAlign w:val="center"/>
            <w:hideMark/>
          </w:tcPr>
          <w:p w14:paraId="7BA9BF18" w14:textId="77777777" w:rsidR="00B12B8E" w:rsidRPr="00A1756A" w:rsidRDefault="00B12B8E" w:rsidP="00B12B8E">
            <w:pPr>
              <w:spacing w:after="0"/>
              <w:rPr>
                <w:rFonts w:eastAsia="Times New Roman" w:cs="Times New Roman"/>
                <w:b/>
                <w:bCs/>
                <w:color w:val="000000"/>
                <w:sz w:val="20"/>
                <w:szCs w:val="20"/>
              </w:rPr>
            </w:pPr>
            <w:r w:rsidRPr="00A1756A">
              <w:rPr>
                <w:rFonts w:eastAsia="Times New Roman" w:cs="Times New Roman"/>
                <w:b/>
                <w:bCs/>
                <w:color w:val="000000"/>
                <w:sz w:val="20"/>
                <w:szCs w:val="20"/>
              </w:rPr>
              <w:t>Variables</w:t>
            </w:r>
          </w:p>
        </w:tc>
        <w:tc>
          <w:tcPr>
            <w:tcW w:w="924" w:type="pct"/>
            <w:tcBorders>
              <w:top w:val="single" w:sz="4" w:space="0" w:color="auto"/>
              <w:left w:val="nil"/>
              <w:bottom w:val="single" w:sz="4" w:space="0" w:color="auto"/>
              <w:right w:val="single" w:sz="4" w:space="0" w:color="auto"/>
            </w:tcBorders>
            <w:noWrap/>
            <w:vAlign w:val="center"/>
            <w:hideMark/>
          </w:tcPr>
          <w:p w14:paraId="6FAAEAF8" w14:textId="77777777" w:rsidR="00026818" w:rsidRPr="00A1756A" w:rsidRDefault="00B12B8E" w:rsidP="00B12B8E">
            <w:pPr>
              <w:spacing w:after="0"/>
              <w:rPr>
                <w:rFonts w:eastAsia="Times New Roman" w:cs="Times New Roman"/>
                <w:b/>
                <w:bCs/>
                <w:color w:val="000000"/>
                <w:sz w:val="20"/>
                <w:szCs w:val="20"/>
              </w:rPr>
            </w:pPr>
            <w:r w:rsidRPr="00A1756A">
              <w:rPr>
                <w:rFonts w:eastAsia="Times New Roman" w:cs="Times New Roman"/>
                <w:b/>
                <w:bCs/>
                <w:color w:val="000000"/>
                <w:sz w:val="20"/>
                <w:szCs w:val="20"/>
              </w:rPr>
              <w:t xml:space="preserve">Latent </w:t>
            </w:r>
          </w:p>
          <w:p w14:paraId="3A15019E" w14:textId="4CB8FC11" w:rsidR="00B12B8E" w:rsidRPr="00A1756A" w:rsidRDefault="00B12B8E" w:rsidP="00B12B8E">
            <w:pPr>
              <w:spacing w:after="0"/>
              <w:rPr>
                <w:rFonts w:eastAsia="Times New Roman" w:cs="Times New Roman"/>
                <w:b/>
                <w:bCs/>
                <w:color w:val="000000"/>
                <w:sz w:val="20"/>
                <w:szCs w:val="20"/>
              </w:rPr>
            </w:pPr>
            <w:r w:rsidRPr="00A1756A">
              <w:rPr>
                <w:rFonts w:eastAsia="Times New Roman" w:cs="Times New Roman"/>
                <w:b/>
                <w:bCs/>
                <w:color w:val="000000"/>
                <w:sz w:val="20"/>
                <w:szCs w:val="20"/>
              </w:rPr>
              <w:t>propensity</w:t>
            </w:r>
          </w:p>
        </w:tc>
        <w:tc>
          <w:tcPr>
            <w:tcW w:w="778" w:type="pct"/>
            <w:tcBorders>
              <w:top w:val="single" w:sz="4" w:space="0" w:color="auto"/>
              <w:left w:val="nil"/>
              <w:bottom w:val="single" w:sz="4" w:space="0" w:color="auto"/>
              <w:right w:val="single" w:sz="4" w:space="0" w:color="auto"/>
            </w:tcBorders>
            <w:noWrap/>
            <w:vAlign w:val="center"/>
            <w:hideMark/>
          </w:tcPr>
          <w:p w14:paraId="52EBD4A7" w14:textId="773EFF25" w:rsidR="00B12B8E" w:rsidRPr="00A1756A" w:rsidRDefault="00B12B8E" w:rsidP="00B12B8E">
            <w:pPr>
              <w:spacing w:after="0"/>
              <w:rPr>
                <w:rFonts w:eastAsia="Times New Roman" w:cs="Times New Roman"/>
                <w:b/>
                <w:bCs/>
                <w:color w:val="000000"/>
                <w:sz w:val="20"/>
                <w:szCs w:val="20"/>
              </w:rPr>
            </w:pPr>
            <w:r w:rsidRPr="00A1756A">
              <w:rPr>
                <w:rFonts w:eastAsia="Times New Roman" w:cs="Times New Roman"/>
                <w:b/>
                <w:bCs/>
                <w:color w:val="000000"/>
                <w:sz w:val="20"/>
                <w:szCs w:val="20"/>
              </w:rPr>
              <w:t>Threshold 2-3</w:t>
            </w:r>
          </w:p>
        </w:tc>
        <w:tc>
          <w:tcPr>
            <w:tcW w:w="778" w:type="pct"/>
            <w:tcBorders>
              <w:top w:val="single" w:sz="4" w:space="0" w:color="auto"/>
              <w:left w:val="nil"/>
              <w:bottom w:val="single" w:sz="4" w:space="0" w:color="auto"/>
              <w:right w:val="single" w:sz="4" w:space="0" w:color="auto"/>
            </w:tcBorders>
            <w:noWrap/>
            <w:vAlign w:val="center"/>
            <w:hideMark/>
          </w:tcPr>
          <w:p w14:paraId="3C49E4BB" w14:textId="5BE8736D" w:rsidR="00B12B8E" w:rsidRPr="00A1756A" w:rsidRDefault="00B12B8E" w:rsidP="00B12B8E">
            <w:pPr>
              <w:spacing w:after="0"/>
              <w:rPr>
                <w:rFonts w:eastAsia="Times New Roman" w:cs="Times New Roman"/>
                <w:b/>
                <w:bCs/>
                <w:color w:val="000000"/>
                <w:sz w:val="20"/>
                <w:szCs w:val="20"/>
              </w:rPr>
            </w:pPr>
            <w:r w:rsidRPr="00A1756A">
              <w:rPr>
                <w:rFonts w:eastAsia="Times New Roman" w:cs="Times New Roman"/>
                <w:b/>
                <w:bCs/>
                <w:color w:val="000000"/>
                <w:sz w:val="20"/>
                <w:szCs w:val="20"/>
              </w:rPr>
              <w:t>Threshold 3-4</w:t>
            </w:r>
          </w:p>
        </w:tc>
        <w:tc>
          <w:tcPr>
            <w:tcW w:w="729" w:type="pct"/>
            <w:tcBorders>
              <w:top w:val="single" w:sz="4" w:space="0" w:color="auto"/>
              <w:left w:val="nil"/>
              <w:bottom w:val="single" w:sz="4" w:space="0" w:color="auto"/>
              <w:right w:val="single" w:sz="4" w:space="0" w:color="auto"/>
            </w:tcBorders>
            <w:noWrap/>
            <w:vAlign w:val="center"/>
            <w:hideMark/>
          </w:tcPr>
          <w:p w14:paraId="79D8C082" w14:textId="3DD20173" w:rsidR="00B12B8E" w:rsidRPr="00A1756A" w:rsidRDefault="00B12B8E" w:rsidP="00B12B8E">
            <w:pPr>
              <w:spacing w:after="0"/>
              <w:rPr>
                <w:rFonts w:eastAsia="Times New Roman" w:cs="Times New Roman"/>
                <w:b/>
                <w:bCs/>
                <w:color w:val="000000"/>
                <w:sz w:val="20"/>
                <w:szCs w:val="20"/>
              </w:rPr>
            </w:pPr>
            <w:r w:rsidRPr="00A1756A">
              <w:rPr>
                <w:rFonts w:eastAsia="Times New Roman" w:cs="Times New Roman"/>
                <w:b/>
                <w:bCs/>
                <w:color w:val="000000"/>
                <w:sz w:val="20"/>
                <w:szCs w:val="20"/>
              </w:rPr>
              <w:t>Threshold 4-5</w:t>
            </w:r>
          </w:p>
        </w:tc>
        <w:tc>
          <w:tcPr>
            <w:tcW w:w="721" w:type="pct"/>
            <w:tcBorders>
              <w:top w:val="single" w:sz="4" w:space="0" w:color="auto"/>
              <w:left w:val="nil"/>
              <w:bottom w:val="single" w:sz="4" w:space="0" w:color="auto"/>
              <w:right w:val="single" w:sz="4" w:space="0" w:color="auto"/>
            </w:tcBorders>
            <w:noWrap/>
            <w:vAlign w:val="center"/>
            <w:hideMark/>
          </w:tcPr>
          <w:p w14:paraId="0B5E2E9F" w14:textId="2966B172" w:rsidR="00B12B8E" w:rsidRPr="00A1756A" w:rsidRDefault="00B12B8E" w:rsidP="00B12B8E">
            <w:pPr>
              <w:spacing w:after="0"/>
              <w:rPr>
                <w:rFonts w:eastAsia="Times New Roman" w:cs="Times New Roman"/>
                <w:b/>
                <w:bCs/>
                <w:color w:val="000000"/>
                <w:sz w:val="20"/>
                <w:szCs w:val="20"/>
              </w:rPr>
            </w:pPr>
            <w:r w:rsidRPr="00A1756A">
              <w:rPr>
                <w:rFonts w:eastAsia="Times New Roman" w:cs="Times New Roman"/>
                <w:b/>
                <w:bCs/>
                <w:color w:val="000000"/>
                <w:sz w:val="20"/>
                <w:szCs w:val="20"/>
              </w:rPr>
              <w:t>Threshold</w:t>
            </w:r>
            <w:r w:rsidR="00524FCE">
              <w:rPr>
                <w:rFonts w:eastAsia="Times New Roman" w:cs="Times New Roman"/>
                <w:b/>
                <w:bCs/>
                <w:color w:val="000000"/>
                <w:sz w:val="20"/>
                <w:szCs w:val="20"/>
              </w:rPr>
              <w:t xml:space="preserve"> </w:t>
            </w:r>
            <w:r w:rsidRPr="00A1756A">
              <w:rPr>
                <w:rFonts w:eastAsia="Times New Roman" w:cs="Times New Roman"/>
                <w:b/>
                <w:bCs/>
                <w:color w:val="000000"/>
                <w:sz w:val="20"/>
                <w:szCs w:val="20"/>
              </w:rPr>
              <w:t>5-6</w:t>
            </w:r>
          </w:p>
        </w:tc>
      </w:tr>
      <w:tr w:rsidR="008D1188" w:rsidRPr="00A1756A" w14:paraId="4BA3752D" w14:textId="77777777" w:rsidTr="00524FCE">
        <w:trPr>
          <w:trHeight w:val="290"/>
        </w:trPr>
        <w:tc>
          <w:tcPr>
            <w:tcW w:w="1070" w:type="pct"/>
            <w:tcBorders>
              <w:top w:val="nil"/>
              <w:left w:val="single" w:sz="4" w:space="0" w:color="auto"/>
              <w:bottom w:val="single" w:sz="4" w:space="0" w:color="auto"/>
              <w:right w:val="single" w:sz="4" w:space="0" w:color="auto"/>
            </w:tcBorders>
            <w:noWrap/>
            <w:vAlign w:val="center"/>
            <w:hideMark/>
          </w:tcPr>
          <w:p w14:paraId="28BAB0F0"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Constant</w:t>
            </w:r>
          </w:p>
        </w:tc>
        <w:tc>
          <w:tcPr>
            <w:tcW w:w="924" w:type="pct"/>
            <w:tcBorders>
              <w:top w:val="nil"/>
              <w:left w:val="nil"/>
              <w:bottom w:val="single" w:sz="4" w:space="0" w:color="auto"/>
              <w:right w:val="single" w:sz="4" w:space="0" w:color="auto"/>
            </w:tcBorders>
            <w:noWrap/>
            <w:vAlign w:val="center"/>
            <w:hideMark/>
          </w:tcPr>
          <w:p w14:paraId="4C229A9E" w14:textId="77777777" w:rsidR="00256F69" w:rsidRDefault="00256F69" w:rsidP="00B12B8E">
            <w:pPr>
              <w:spacing w:after="0"/>
              <w:rPr>
                <w:rFonts w:eastAsia="Times New Roman" w:cs="Times New Roman"/>
                <w:color w:val="000000"/>
                <w:sz w:val="20"/>
                <w:szCs w:val="20"/>
              </w:rPr>
            </w:pPr>
            <w:r w:rsidRPr="00256F69">
              <w:rPr>
                <w:rFonts w:eastAsia="Times New Roman" w:cs="Times New Roman"/>
                <w:color w:val="000000"/>
                <w:sz w:val="20"/>
                <w:szCs w:val="20"/>
              </w:rPr>
              <w:t>-2.10</w:t>
            </w:r>
            <w:r>
              <w:rPr>
                <w:rFonts w:eastAsia="Times New Roman" w:cs="Times New Roman"/>
                <w:color w:val="000000"/>
                <w:sz w:val="20"/>
                <w:szCs w:val="20"/>
              </w:rPr>
              <w:t>6</w:t>
            </w:r>
          </w:p>
          <w:p w14:paraId="1D22C214" w14:textId="53861ADF" w:rsidR="00B12B8E" w:rsidRPr="00A1756A" w:rsidRDefault="00256F69" w:rsidP="00B12B8E">
            <w:pPr>
              <w:spacing w:after="0"/>
              <w:rPr>
                <w:rFonts w:eastAsia="Times New Roman" w:cs="Times New Roman"/>
                <w:color w:val="000000"/>
                <w:sz w:val="20"/>
                <w:szCs w:val="20"/>
              </w:rPr>
            </w:pPr>
            <w:r>
              <w:rPr>
                <w:rFonts w:eastAsia="Times New Roman" w:cs="Times New Roman"/>
                <w:color w:val="000000"/>
                <w:sz w:val="20"/>
                <w:szCs w:val="20"/>
              </w:rPr>
              <w:t>(</w:t>
            </w:r>
            <w:r w:rsidRPr="00256F69">
              <w:rPr>
                <w:rFonts w:eastAsia="Times New Roman" w:cs="Times New Roman"/>
                <w:color w:val="000000"/>
                <w:sz w:val="20"/>
                <w:szCs w:val="20"/>
              </w:rPr>
              <w:t>-9.12</w:t>
            </w:r>
            <w:r w:rsidR="00223B52">
              <w:rPr>
                <w:rFonts w:eastAsia="Times New Roman" w:cs="Times New Roman"/>
                <w:color w:val="000000"/>
                <w:sz w:val="20"/>
                <w:szCs w:val="20"/>
              </w:rPr>
              <w:t>5</w:t>
            </w:r>
            <w:r w:rsidR="00B12B8E"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46EEA7D7" w14:textId="77777777" w:rsidR="00256F69" w:rsidRDefault="00256F69" w:rsidP="00B12B8E">
            <w:pPr>
              <w:spacing w:after="0"/>
              <w:rPr>
                <w:rFonts w:eastAsia="Times New Roman" w:cs="Times New Roman"/>
                <w:color w:val="000000"/>
                <w:sz w:val="20"/>
                <w:szCs w:val="20"/>
              </w:rPr>
            </w:pPr>
            <w:r w:rsidRPr="00256F69">
              <w:rPr>
                <w:rFonts w:eastAsia="Times New Roman" w:cs="Times New Roman"/>
                <w:color w:val="000000"/>
                <w:sz w:val="20"/>
                <w:szCs w:val="20"/>
              </w:rPr>
              <w:t>0.39</w:t>
            </w:r>
            <w:r>
              <w:rPr>
                <w:rFonts w:eastAsia="Times New Roman" w:cs="Times New Roman"/>
                <w:color w:val="000000"/>
                <w:sz w:val="20"/>
                <w:szCs w:val="20"/>
              </w:rPr>
              <w:t xml:space="preserve">6 </w:t>
            </w:r>
          </w:p>
          <w:p w14:paraId="597C3967" w14:textId="3E5E6CD5"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r w:rsidR="00256F69" w:rsidRPr="00256F69">
              <w:rPr>
                <w:rFonts w:eastAsia="Times New Roman" w:cs="Times New Roman"/>
                <w:color w:val="000000"/>
                <w:sz w:val="20"/>
                <w:szCs w:val="20"/>
              </w:rPr>
              <w:t>12.667</w:t>
            </w:r>
            <w:r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46A9ED06" w14:textId="77777777" w:rsidR="00256F69" w:rsidRDefault="00256F69" w:rsidP="00B12B8E">
            <w:pPr>
              <w:spacing w:after="0"/>
              <w:rPr>
                <w:rFonts w:eastAsia="Times New Roman" w:cs="Times New Roman"/>
                <w:color w:val="000000"/>
                <w:sz w:val="20"/>
                <w:szCs w:val="20"/>
              </w:rPr>
            </w:pPr>
            <w:r w:rsidRPr="00256F69">
              <w:rPr>
                <w:rFonts w:eastAsia="Times New Roman" w:cs="Times New Roman"/>
                <w:color w:val="000000"/>
                <w:sz w:val="20"/>
                <w:szCs w:val="20"/>
              </w:rPr>
              <w:t xml:space="preserve">0.351 </w:t>
            </w:r>
          </w:p>
          <w:p w14:paraId="0DB310D8" w14:textId="55A48E73"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r w:rsidR="00256F69" w:rsidRPr="00256F69">
              <w:rPr>
                <w:rFonts w:eastAsia="Times New Roman" w:cs="Times New Roman"/>
                <w:color w:val="000000"/>
                <w:sz w:val="20"/>
                <w:szCs w:val="20"/>
              </w:rPr>
              <w:t>9.79</w:t>
            </w:r>
            <w:r w:rsidR="00223B52">
              <w:rPr>
                <w:rFonts w:eastAsia="Times New Roman" w:cs="Times New Roman"/>
                <w:color w:val="000000"/>
                <w:sz w:val="20"/>
                <w:szCs w:val="20"/>
              </w:rPr>
              <w:t>6</w:t>
            </w:r>
            <w:r w:rsidRPr="00A1756A">
              <w:rPr>
                <w:rFonts w:eastAsia="Times New Roman" w:cs="Times New Roman"/>
                <w:color w:val="000000"/>
                <w:sz w:val="20"/>
                <w:szCs w:val="20"/>
              </w:rPr>
              <w:t>)</w:t>
            </w:r>
          </w:p>
        </w:tc>
        <w:tc>
          <w:tcPr>
            <w:tcW w:w="729" w:type="pct"/>
            <w:tcBorders>
              <w:top w:val="nil"/>
              <w:left w:val="nil"/>
              <w:bottom w:val="single" w:sz="4" w:space="0" w:color="auto"/>
              <w:right w:val="single" w:sz="4" w:space="0" w:color="auto"/>
            </w:tcBorders>
            <w:noWrap/>
            <w:vAlign w:val="center"/>
            <w:hideMark/>
          </w:tcPr>
          <w:p w14:paraId="7BAD1350" w14:textId="77777777" w:rsidR="00256F69" w:rsidRDefault="00256F69" w:rsidP="00B12B8E">
            <w:pPr>
              <w:spacing w:after="0"/>
              <w:rPr>
                <w:rFonts w:eastAsia="Times New Roman" w:cs="Times New Roman"/>
                <w:color w:val="000000"/>
                <w:sz w:val="20"/>
                <w:szCs w:val="20"/>
              </w:rPr>
            </w:pPr>
            <w:r w:rsidRPr="00256F69">
              <w:rPr>
                <w:rFonts w:eastAsia="Times New Roman" w:cs="Times New Roman"/>
                <w:color w:val="000000"/>
                <w:sz w:val="20"/>
                <w:szCs w:val="20"/>
              </w:rPr>
              <w:t>0.86</w:t>
            </w:r>
            <w:r>
              <w:rPr>
                <w:rFonts w:eastAsia="Times New Roman" w:cs="Times New Roman"/>
                <w:color w:val="000000"/>
                <w:sz w:val="20"/>
                <w:szCs w:val="20"/>
              </w:rPr>
              <w:t>5</w:t>
            </w:r>
          </w:p>
          <w:p w14:paraId="2999DB94" w14:textId="72944269"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r w:rsidR="00256F69" w:rsidRPr="00256F69">
              <w:rPr>
                <w:rFonts w:eastAsia="Times New Roman" w:cs="Times New Roman"/>
                <w:color w:val="000000"/>
                <w:sz w:val="20"/>
                <w:szCs w:val="20"/>
              </w:rPr>
              <w:t>20.5</w:t>
            </w:r>
            <w:r w:rsidR="00EA68EF">
              <w:rPr>
                <w:rFonts w:eastAsia="Times New Roman" w:cs="Times New Roman"/>
                <w:color w:val="000000"/>
                <w:sz w:val="20"/>
                <w:szCs w:val="20"/>
              </w:rPr>
              <w:t>09</w:t>
            </w:r>
            <w:r w:rsidRPr="00A1756A">
              <w:rPr>
                <w:rFonts w:eastAsia="Times New Roman" w:cs="Times New Roman"/>
                <w:color w:val="000000"/>
                <w:sz w:val="20"/>
                <w:szCs w:val="20"/>
              </w:rPr>
              <w:t>)</w:t>
            </w:r>
          </w:p>
        </w:tc>
        <w:tc>
          <w:tcPr>
            <w:tcW w:w="721" w:type="pct"/>
            <w:tcBorders>
              <w:top w:val="nil"/>
              <w:left w:val="nil"/>
              <w:bottom w:val="single" w:sz="4" w:space="0" w:color="auto"/>
              <w:right w:val="single" w:sz="4" w:space="0" w:color="auto"/>
            </w:tcBorders>
            <w:noWrap/>
            <w:vAlign w:val="center"/>
            <w:hideMark/>
          </w:tcPr>
          <w:p w14:paraId="1061092C" w14:textId="77777777" w:rsidR="00256F69" w:rsidRDefault="00256F69" w:rsidP="00B12B8E">
            <w:pPr>
              <w:spacing w:after="0"/>
              <w:rPr>
                <w:rFonts w:eastAsia="Times New Roman" w:cs="Times New Roman"/>
                <w:color w:val="000000"/>
                <w:sz w:val="20"/>
                <w:szCs w:val="20"/>
              </w:rPr>
            </w:pPr>
            <w:r w:rsidRPr="00256F69">
              <w:rPr>
                <w:rFonts w:eastAsia="Times New Roman" w:cs="Times New Roman"/>
                <w:color w:val="000000"/>
                <w:sz w:val="20"/>
                <w:szCs w:val="20"/>
              </w:rPr>
              <w:t>1.99</w:t>
            </w:r>
            <w:r>
              <w:rPr>
                <w:rFonts w:eastAsia="Times New Roman" w:cs="Times New Roman"/>
                <w:color w:val="000000"/>
                <w:sz w:val="20"/>
                <w:szCs w:val="20"/>
              </w:rPr>
              <w:t>6</w:t>
            </w:r>
          </w:p>
          <w:p w14:paraId="0E897D95" w14:textId="5786C3F9"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r w:rsidR="00256F69">
              <w:rPr>
                <w:rFonts w:eastAsia="Times New Roman" w:cs="Times New Roman"/>
                <w:color w:val="000000"/>
                <w:sz w:val="20"/>
                <w:szCs w:val="20"/>
              </w:rPr>
              <w:t>33.20</w:t>
            </w:r>
            <w:r w:rsidR="00EB299D">
              <w:rPr>
                <w:rFonts w:eastAsia="Times New Roman" w:cs="Times New Roman"/>
                <w:color w:val="000000"/>
                <w:sz w:val="20"/>
                <w:szCs w:val="20"/>
              </w:rPr>
              <w:t>9</w:t>
            </w:r>
            <w:r w:rsidRPr="00A1756A">
              <w:rPr>
                <w:rFonts w:eastAsia="Times New Roman" w:cs="Times New Roman"/>
                <w:color w:val="000000"/>
                <w:sz w:val="20"/>
                <w:szCs w:val="20"/>
              </w:rPr>
              <w:t>)</w:t>
            </w:r>
          </w:p>
        </w:tc>
      </w:tr>
      <w:tr w:rsidR="00B12B8E" w:rsidRPr="00A1756A" w14:paraId="34B6A0E8"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58D31417" w14:textId="77777777" w:rsidR="00B12B8E" w:rsidRPr="00A1756A" w:rsidRDefault="00B12B8E" w:rsidP="00B12B8E">
            <w:pPr>
              <w:spacing w:after="0"/>
              <w:jc w:val="center"/>
              <w:rPr>
                <w:rFonts w:eastAsia="Times New Roman" w:cs="Times New Roman"/>
                <w:b/>
                <w:bCs/>
                <w:i/>
                <w:iCs/>
                <w:color w:val="000000"/>
                <w:sz w:val="20"/>
                <w:szCs w:val="20"/>
              </w:rPr>
            </w:pPr>
            <w:r w:rsidRPr="00A1756A">
              <w:rPr>
                <w:rFonts w:eastAsia="Times New Roman" w:cs="Times New Roman"/>
                <w:b/>
                <w:bCs/>
                <w:i/>
                <w:iCs/>
                <w:color w:val="000000"/>
                <w:sz w:val="20"/>
                <w:szCs w:val="20"/>
              </w:rPr>
              <w:t>Demographic Characteristics</w:t>
            </w:r>
          </w:p>
        </w:tc>
      </w:tr>
      <w:tr w:rsidR="008D1188" w:rsidRPr="00A1756A" w14:paraId="0111115D" w14:textId="77777777" w:rsidTr="00524FCE">
        <w:trPr>
          <w:trHeight w:val="290"/>
        </w:trPr>
        <w:tc>
          <w:tcPr>
            <w:tcW w:w="1070" w:type="pct"/>
            <w:tcBorders>
              <w:top w:val="nil"/>
              <w:left w:val="single" w:sz="4" w:space="0" w:color="auto"/>
              <w:bottom w:val="single" w:sz="4" w:space="0" w:color="auto"/>
              <w:right w:val="single" w:sz="4" w:space="0" w:color="auto"/>
            </w:tcBorders>
            <w:noWrap/>
            <w:vAlign w:val="center"/>
            <w:hideMark/>
          </w:tcPr>
          <w:p w14:paraId="5D47A2FF" w14:textId="335A0611"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Population</w:t>
            </w:r>
          </w:p>
        </w:tc>
        <w:tc>
          <w:tcPr>
            <w:tcW w:w="924" w:type="pct"/>
            <w:tcBorders>
              <w:top w:val="nil"/>
              <w:left w:val="nil"/>
              <w:bottom w:val="single" w:sz="4" w:space="0" w:color="auto"/>
              <w:right w:val="single" w:sz="4" w:space="0" w:color="auto"/>
            </w:tcBorders>
            <w:noWrap/>
            <w:vAlign w:val="center"/>
            <w:hideMark/>
          </w:tcPr>
          <w:p w14:paraId="04B4343A" w14:textId="77777777" w:rsidR="00256F69" w:rsidRDefault="00256F69" w:rsidP="00B12B8E">
            <w:pPr>
              <w:spacing w:after="0"/>
              <w:rPr>
                <w:rFonts w:eastAsia="Times New Roman" w:cs="Times New Roman"/>
                <w:color w:val="000000"/>
                <w:sz w:val="20"/>
                <w:szCs w:val="20"/>
              </w:rPr>
            </w:pPr>
            <w:r w:rsidRPr="00256F69">
              <w:rPr>
                <w:rFonts w:eastAsia="Times New Roman" w:cs="Times New Roman"/>
                <w:color w:val="000000"/>
                <w:sz w:val="20"/>
                <w:szCs w:val="20"/>
              </w:rPr>
              <w:t>8.42</w:t>
            </w:r>
            <w:r>
              <w:rPr>
                <w:rFonts w:eastAsia="Times New Roman" w:cs="Times New Roman"/>
                <w:color w:val="000000"/>
                <w:sz w:val="20"/>
                <w:szCs w:val="20"/>
              </w:rPr>
              <w:t>5</w:t>
            </w:r>
          </w:p>
          <w:p w14:paraId="2044EBC0" w14:textId="2A6212CC"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r w:rsidR="00256F69" w:rsidRPr="00256F69">
              <w:rPr>
                <w:rFonts w:eastAsia="Times New Roman" w:cs="Times New Roman"/>
                <w:color w:val="000000"/>
                <w:sz w:val="20"/>
                <w:szCs w:val="20"/>
              </w:rPr>
              <w:t>24.67</w:t>
            </w:r>
            <w:r w:rsidR="00E169FB">
              <w:rPr>
                <w:rFonts w:eastAsia="Times New Roman" w:cs="Times New Roman"/>
                <w:color w:val="000000"/>
                <w:sz w:val="20"/>
                <w:szCs w:val="20"/>
              </w:rPr>
              <w:t>9</w:t>
            </w:r>
            <w:r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0F14F9CC" w14:textId="7D04039D" w:rsidR="00B12B8E" w:rsidRPr="00A1756A" w:rsidRDefault="00B12B8E" w:rsidP="00B12B8E">
            <w:pPr>
              <w:spacing w:after="0"/>
              <w:rPr>
                <w:rFonts w:eastAsia="Times New Roman" w:cs="Times New Roman"/>
                <w:color w:val="000000"/>
                <w:sz w:val="20"/>
                <w:szCs w:val="20"/>
              </w:rPr>
            </w:pPr>
          </w:p>
        </w:tc>
        <w:tc>
          <w:tcPr>
            <w:tcW w:w="778" w:type="pct"/>
            <w:tcBorders>
              <w:top w:val="nil"/>
              <w:left w:val="nil"/>
              <w:bottom w:val="single" w:sz="4" w:space="0" w:color="auto"/>
              <w:right w:val="single" w:sz="4" w:space="0" w:color="auto"/>
            </w:tcBorders>
            <w:noWrap/>
            <w:vAlign w:val="center"/>
            <w:hideMark/>
          </w:tcPr>
          <w:p w14:paraId="22289DD2" w14:textId="77777777" w:rsidR="00256F69" w:rsidRDefault="00256F69" w:rsidP="00B12B8E">
            <w:pPr>
              <w:spacing w:after="0"/>
              <w:rPr>
                <w:rFonts w:eastAsia="Times New Roman" w:cs="Times New Roman"/>
                <w:color w:val="000000"/>
                <w:sz w:val="20"/>
                <w:szCs w:val="20"/>
              </w:rPr>
            </w:pPr>
            <w:r w:rsidRPr="00256F69">
              <w:rPr>
                <w:rFonts w:eastAsia="Times New Roman" w:cs="Times New Roman"/>
                <w:color w:val="000000"/>
                <w:sz w:val="20"/>
                <w:szCs w:val="20"/>
              </w:rPr>
              <w:t xml:space="preserve">0.236 </w:t>
            </w:r>
          </w:p>
          <w:p w14:paraId="32BFC0CE" w14:textId="6B387CB5"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r w:rsidR="00256F69" w:rsidRPr="00256F69">
              <w:rPr>
                <w:rFonts w:eastAsia="Times New Roman" w:cs="Times New Roman"/>
                <w:color w:val="000000"/>
                <w:sz w:val="20"/>
                <w:szCs w:val="20"/>
              </w:rPr>
              <w:t>128.21</w:t>
            </w:r>
            <w:r w:rsidR="00B93D90">
              <w:rPr>
                <w:rFonts w:eastAsia="Times New Roman" w:cs="Times New Roman"/>
                <w:color w:val="000000"/>
                <w:sz w:val="20"/>
                <w:szCs w:val="20"/>
              </w:rPr>
              <w:t>1</w:t>
            </w:r>
            <w:r w:rsidRPr="00A1756A">
              <w:rPr>
                <w:rFonts w:eastAsia="Times New Roman" w:cs="Times New Roman"/>
                <w:color w:val="000000"/>
                <w:sz w:val="20"/>
                <w:szCs w:val="20"/>
              </w:rPr>
              <w:t>)</w:t>
            </w:r>
          </w:p>
        </w:tc>
        <w:tc>
          <w:tcPr>
            <w:tcW w:w="729" w:type="pct"/>
            <w:tcBorders>
              <w:top w:val="nil"/>
              <w:left w:val="nil"/>
              <w:bottom w:val="single" w:sz="4" w:space="0" w:color="auto"/>
              <w:right w:val="single" w:sz="4" w:space="0" w:color="auto"/>
            </w:tcBorders>
            <w:noWrap/>
            <w:vAlign w:val="center"/>
            <w:hideMark/>
          </w:tcPr>
          <w:p w14:paraId="0154736F"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1" w:type="pct"/>
            <w:tcBorders>
              <w:top w:val="nil"/>
              <w:left w:val="nil"/>
              <w:bottom w:val="single" w:sz="4" w:space="0" w:color="auto"/>
              <w:right w:val="single" w:sz="4" w:space="0" w:color="auto"/>
            </w:tcBorders>
            <w:noWrap/>
            <w:vAlign w:val="center"/>
            <w:hideMark/>
          </w:tcPr>
          <w:p w14:paraId="1FDD1F93"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r>
      <w:tr w:rsidR="008D1188" w:rsidRPr="00A1756A" w14:paraId="2A7B6AB9" w14:textId="77777777" w:rsidTr="00524FCE">
        <w:trPr>
          <w:trHeight w:val="290"/>
        </w:trPr>
        <w:tc>
          <w:tcPr>
            <w:tcW w:w="1070" w:type="pct"/>
            <w:tcBorders>
              <w:top w:val="nil"/>
              <w:left w:val="single" w:sz="4" w:space="0" w:color="auto"/>
              <w:bottom w:val="single" w:sz="4" w:space="0" w:color="auto"/>
              <w:right w:val="single" w:sz="4" w:space="0" w:color="auto"/>
            </w:tcBorders>
            <w:noWrap/>
            <w:vAlign w:val="center"/>
            <w:hideMark/>
          </w:tcPr>
          <w:p w14:paraId="06D3DC4A" w14:textId="77777777" w:rsidR="00B12B8E" w:rsidRPr="00A1756A" w:rsidRDefault="00B12B8E" w:rsidP="00B12B8E">
            <w:pPr>
              <w:spacing w:after="0"/>
              <w:rPr>
                <w:rFonts w:eastAsia="Times New Roman" w:cs="Times New Roman"/>
                <w:i/>
                <w:iCs/>
                <w:color w:val="000000"/>
                <w:sz w:val="20"/>
                <w:szCs w:val="20"/>
              </w:rPr>
            </w:pPr>
            <w:r w:rsidRPr="00A1756A">
              <w:rPr>
                <w:rFonts w:eastAsia="Times New Roman" w:cs="Times New Roman"/>
                <w:i/>
                <w:iCs/>
                <w:color w:val="000000"/>
                <w:sz w:val="20"/>
                <w:szCs w:val="20"/>
              </w:rPr>
              <w:t>SD population</w:t>
            </w:r>
          </w:p>
        </w:tc>
        <w:tc>
          <w:tcPr>
            <w:tcW w:w="924" w:type="pct"/>
            <w:tcBorders>
              <w:top w:val="nil"/>
              <w:left w:val="nil"/>
              <w:bottom w:val="single" w:sz="4" w:space="0" w:color="auto"/>
              <w:right w:val="single" w:sz="4" w:space="0" w:color="auto"/>
            </w:tcBorders>
            <w:noWrap/>
            <w:vAlign w:val="center"/>
            <w:hideMark/>
          </w:tcPr>
          <w:p w14:paraId="0EA770DC" w14:textId="48A171CD" w:rsidR="006050E0" w:rsidRDefault="006050E0" w:rsidP="00B12B8E">
            <w:pPr>
              <w:spacing w:after="0"/>
              <w:rPr>
                <w:rFonts w:eastAsia="Times New Roman" w:cs="Times New Roman"/>
                <w:i/>
                <w:iCs/>
                <w:color w:val="000000"/>
                <w:sz w:val="20"/>
                <w:szCs w:val="20"/>
              </w:rPr>
            </w:pPr>
            <w:r w:rsidRPr="006050E0">
              <w:rPr>
                <w:rFonts w:eastAsia="Times New Roman" w:cs="Times New Roman"/>
                <w:i/>
                <w:iCs/>
                <w:color w:val="000000"/>
                <w:sz w:val="20"/>
                <w:szCs w:val="20"/>
              </w:rPr>
              <w:t>3.637</w:t>
            </w:r>
          </w:p>
          <w:p w14:paraId="08B6C742" w14:textId="0F357EA8" w:rsidR="00B12B8E" w:rsidRPr="00A1756A" w:rsidRDefault="00B12B8E" w:rsidP="00B12B8E">
            <w:pPr>
              <w:spacing w:after="0"/>
              <w:rPr>
                <w:rFonts w:eastAsia="Times New Roman" w:cs="Times New Roman"/>
                <w:i/>
                <w:iCs/>
                <w:color w:val="000000"/>
                <w:sz w:val="20"/>
                <w:szCs w:val="20"/>
              </w:rPr>
            </w:pPr>
            <w:r w:rsidRPr="00A1756A">
              <w:rPr>
                <w:rFonts w:eastAsia="Times New Roman" w:cs="Times New Roman"/>
                <w:i/>
                <w:iCs/>
                <w:color w:val="000000"/>
                <w:sz w:val="20"/>
                <w:szCs w:val="20"/>
              </w:rPr>
              <w:t>(</w:t>
            </w:r>
            <w:r w:rsidR="006050E0" w:rsidRPr="006050E0">
              <w:rPr>
                <w:rFonts w:eastAsia="Times New Roman" w:cs="Times New Roman"/>
                <w:i/>
                <w:iCs/>
                <w:color w:val="000000"/>
                <w:sz w:val="20"/>
                <w:szCs w:val="20"/>
              </w:rPr>
              <w:t>14.04</w:t>
            </w:r>
            <w:r w:rsidR="00E33F15">
              <w:rPr>
                <w:rFonts w:eastAsia="Times New Roman" w:cs="Times New Roman"/>
                <w:i/>
                <w:iCs/>
                <w:color w:val="000000"/>
                <w:sz w:val="20"/>
                <w:szCs w:val="20"/>
              </w:rPr>
              <w:t>8</w:t>
            </w:r>
            <w:r w:rsidRPr="00A1756A">
              <w:rPr>
                <w:rFonts w:eastAsia="Times New Roman" w:cs="Times New Roman"/>
                <w:i/>
                <w:iCs/>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6706F76E"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114F299B"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9" w:type="pct"/>
            <w:tcBorders>
              <w:top w:val="nil"/>
              <w:left w:val="nil"/>
              <w:bottom w:val="single" w:sz="4" w:space="0" w:color="auto"/>
              <w:right w:val="single" w:sz="4" w:space="0" w:color="auto"/>
            </w:tcBorders>
            <w:noWrap/>
            <w:vAlign w:val="center"/>
            <w:hideMark/>
          </w:tcPr>
          <w:p w14:paraId="24FBCF57"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1" w:type="pct"/>
            <w:tcBorders>
              <w:top w:val="nil"/>
              <w:left w:val="nil"/>
              <w:bottom w:val="single" w:sz="4" w:space="0" w:color="auto"/>
              <w:right w:val="single" w:sz="4" w:space="0" w:color="auto"/>
            </w:tcBorders>
            <w:noWrap/>
            <w:vAlign w:val="center"/>
            <w:hideMark/>
          </w:tcPr>
          <w:p w14:paraId="6B4E00A3"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r>
      <w:tr w:rsidR="008D1188" w:rsidRPr="00A1756A" w14:paraId="32377AFA" w14:textId="77777777" w:rsidTr="00524FCE">
        <w:trPr>
          <w:trHeight w:val="290"/>
        </w:trPr>
        <w:tc>
          <w:tcPr>
            <w:tcW w:w="1070" w:type="pct"/>
            <w:tcBorders>
              <w:top w:val="nil"/>
              <w:left w:val="single" w:sz="4" w:space="0" w:color="auto"/>
              <w:bottom w:val="single" w:sz="4" w:space="0" w:color="auto"/>
              <w:right w:val="single" w:sz="4" w:space="0" w:color="auto"/>
            </w:tcBorders>
            <w:noWrap/>
            <w:vAlign w:val="center"/>
            <w:hideMark/>
          </w:tcPr>
          <w:p w14:paraId="5BB9F846" w14:textId="38B8CD58"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Median Income</w:t>
            </w:r>
          </w:p>
        </w:tc>
        <w:tc>
          <w:tcPr>
            <w:tcW w:w="924" w:type="pct"/>
            <w:tcBorders>
              <w:top w:val="nil"/>
              <w:left w:val="nil"/>
              <w:bottom w:val="single" w:sz="4" w:space="0" w:color="auto"/>
              <w:right w:val="single" w:sz="4" w:space="0" w:color="auto"/>
            </w:tcBorders>
            <w:noWrap/>
            <w:vAlign w:val="center"/>
            <w:hideMark/>
          </w:tcPr>
          <w:p w14:paraId="0349D8A3" w14:textId="77777777" w:rsidR="00256F69" w:rsidRDefault="00256F69" w:rsidP="00B12B8E">
            <w:pPr>
              <w:spacing w:after="0"/>
              <w:rPr>
                <w:rFonts w:eastAsia="Times New Roman" w:cs="Times New Roman"/>
                <w:color w:val="000000"/>
                <w:sz w:val="20"/>
                <w:szCs w:val="20"/>
              </w:rPr>
            </w:pPr>
            <w:r w:rsidRPr="00256F69">
              <w:rPr>
                <w:rFonts w:eastAsia="Times New Roman" w:cs="Times New Roman"/>
                <w:color w:val="000000"/>
                <w:sz w:val="20"/>
                <w:szCs w:val="20"/>
              </w:rPr>
              <w:t>3.00</w:t>
            </w:r>
            <w:r>
              <w:rPr>
                <w:rFonts w:eastAsia="Times New Roman" w:cs="Times New Roman"/>
                <w:color w:val="000000"/>
                <w:sz w:val="20"/>
                <w:szCs w:val="20"/>
              </w:rPr>
              <w:t>2</w:t>
            </w:r>
          </w:p>
          <w:p w14:paraId="087670B2" w14:textId="065471C6"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r w:rsidR="00256F69" w:rsidRPr="00256F69">
              <w:rPr>
                <w:rFonts w:eastAsia="Times New Roman" w:cs="Times New Roman"/>
                <w:color w:val="000000"/>
                <w:sz w:val="20"/>
                <w:szCs w:val="20"/>
              </w:rPr>
              <w:t>7.10</w:t>
            </w:r>
            <w:r w:rsidR="00E169FB">
              <w:rPr>
                <w:rFonts w:eastAsia="Times New Roman" w:cs="Times New Roman"/>
                <w:color w:val="000000"/>
                <w:sz w:val="20"/>
                <w:szCs w:val="20"/>
              </w:rPr>
              <w:t>3</w:t>
            </w:r>
            <w:r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42CE1948"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77ACB6F8"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9" w:type="pct"/>
            <w:tcBorders>
              <w:top w:val="nil"/>
              <w:left w:val="nil"/>
              <w:bottom w:val="single" w:sz="4" w:space="0" w:color="auto"/>
              <w:right w:val="single" w:sz="4" w:space="0" w:color="auto"/>
            </w:tcBorders>
            <w:noWrap/>
            <w:vAlign w:val="center"/>
            <w:hideMark/>
          </w:tcPr>
          <w:p w14:paraId="37F443CD"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1" w:type="pct"/>
            <w:tcBorders>
              <w:top w:val="nil"/>
              <w:left w:val="nil"/>
              <w:bottom w:val="single" w:sz="4" w:space="0" w:color="auto"/>
              <w:right w:val="single" w:sz="4" w:space="0" w:color="auto"/>
            </w:tcBorders>
            <w:noWrap/>
            <w:vAlign w:val="center"/>
            <w:hideMark/>
          </w:tcPr>
          <w:p w14:paraId="30D9E51E"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r>
      <w:tr w:rsidR="00B12B8E" w:rsidRPr="00A1756A" w14:paraId="42835A69" w14:textId="77777777" w:rsidTr="00524FCE">
        <w:trPr>
          <w:trHeight w:val="290"/>
        </w:trPr>
        <w:tc>
          <w:tcPr>
            <w:tcW w:w="5000" w:type="pct"/>
            <w:gridSpan w:val="6"/>
            <w:tcBorders>
              <w:top w:val="nil"/>
              <w:left w:val="single" w:sz="4" w:space="0" w:color="auto"/>
              <w:bottom w:val="single" w:sz="4" w:space="0" w:color="auto"/>
              <w:right w:val="single" w:sz="4" w:space="0" w:color="auto"/>
            </w:tcBorders>
            <w:noWrap/>
            <w:vAlign w:val="center"/>
          </w:tcPr>
          <w:p w14:paraId="69141555" w14:textId="27161663"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Education status (Base: High)</w:t>
            </w:r>
          </w:p>
        </w:tc>
      </w:tr>
      <w:tr w:rsidR="008D1188" w:rsidRPr="00A1756A" w14:paraId="7C6FBB0E" w14:textId="77777777" w:rsidTr="00524FCE">
        <w:trPr>
          <w:trHeight w:val="290"/>
        </w:trPr>
        <w:tc>
          <w:tcPr>
            <w:tcW w:w="1070" w:type="pct"/>
            <w:tcBorders>
              <w:top w:val="nil"/>
              <w:left w:val="single" w:sz="4" w:space="0" w:color="auto"/>
              <w:bottom w:val="single" w:sz="4" w:space="0" w:color="auto"/>
              <w:right w:val="single" w:sz="4" w:space="0" w:color="auto"/>
            </w:tcBorders>
            <w:noWrap/>
            <w:vAlign w:val="center"/>
            <w:hideMark/>
          </w:tcPr>
          <w:p w14:paraId="1575A2D0" w14:textId="00E178B9"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Low</w:t>
            </w:r>
          </w:p>
        </w:tc>
        <w:tc>
          <w:tcPr>
            <w:tcW w:w="924" w:type="pct"/>
            <w:tcBorders>
              <w:top w:val="nil"/>
              <w:left w:val="nil"/>
              <w:bottom w:val="single" w:sz="4" w:space="0" w:color="auto"/>
              <w:right w:val="single" w:sz="4" w:space="0" w:color="auto"/>
            </w:tcBorders>
            <w:noWrap/>
            <w:vAlign w:val="center"/>
            <w:hideMark/>
          </w:tcPr>
          <w:p w14:paraId="2F4E4CFF" w14:textId="77777777" w:rsidR="006050E0" w:rsidRDefault="006050E0" w:rsidP="00B12B8E">
            <w:pPr>
              <w:spacing w:after="0"/>
              <w:rPr>
                <w:rFonts w:eastAsia="Times New Roman" w:cs="Times New Roman"/>
                <w:color w:val="000000"/>
                <w:sz w:val="20"/>
                <w:szCs w:val="20"/>
              </w:rPr>
            </w:pPr>
            <w:r w:rsidRPr="006050E0">
              <w:rPr>
                <w:rFonts w:eastAsia="Times New Roman" w:cs="Times New Roman"/>
                <w:color w:val="000000"/>
                <w:sz w:val="20"/>
                <w:szCs w:val="20"/>
              </w:rPr>
              <w:t>-1.057</w:t>
            </w:r>
          </w:p>
          <w:p w14:paraId="5CF3BECE" w14:textId="63F570B3"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r w:rsidR="006050E0" w:rsidRPr="006050E0">
              <w:rPr>
                <w:rFonts w:eastAsia="Times New Roman" w:cs="Times New Roman"/>
                <w:color w:val="000000"/>
                <w:sz w:val="20"/>
                <w:szCs w:val="20"/>
              </w:rPr>
              <w:t>-14.03</w:t>
            </w:r>
            <w:r w:rsidR="00E169FB">
              <w:rPr>
                <w:rFonts w:eastAsia="Times New Roman" w:cs="Times New Roman"/>
                <w:color w:val="000000"/>
                <w:sz w:val="20"/>
                <w:szCs w:val="20"/>
              </w:rPr>
              <w:t>6</w:t>
            </w:r>
            <w:r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0DEBDC5A" w14:textId="77777777" w:rsidR="00B12B8E" w:rsidRPr="00A1756A" w:rsidRDefault="00B12B8E" w:rsidP="00B12B8E">
            <w:pPr>
              <w:spacing w:after="0"/>
              <w:rPr>
                <w:rFonts w:ascii="Calibri" w:eastAsia="Times New Roman" w:hAnsi="Calibri" w:cs="Calibri"/>
                <w:color w:val="000000"/>
                <w:sz w:val="20"/>
                <w:szCs w:val="20"/>
              </w:rPr>
            </w:pPr>
            <w:r w:rsidRPr="00A1756A">
              <w:rPr>
                <w:rFonts w:ascii="Calibri" w:eastAsia="Times New Roman" w:hAnsi="Calibri" w:cs="Calibri"/>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2C71114F"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9" w:type="pct"/>
            <w:tcBorders>
              <w:top w:val="nil"/>
              <w:left w:val="nil"/>
              <w:bottom w:val="single" w:sz="4" w:space="0" w:color="auto"/>
              <w:right w:val="single" w:sz="4" w:space="0" w:color="auto"/>
            </w:tcBorders>
            <w:noWrap/>
            <w:vAlign w:val="center"/>
            <w:hideMark/>
          </w:tcPr>
          <w:p w14:paraId="08B1C86A"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1" w:type="pct"/>
            <w:tcBorders>
              <w:top w:val="nil"/>
              <w:left w:val="nil"/>
              <w:bottom w:val="single" w:sz="4" w:space="0" w:color="auto"/>
              <w:right w:val="single" w:sz="4" w:space="0" w:color="auto"/>
            </w:tcBorders>
            <w:noWrap/>
            <w:vAlign w:val="center"/>
            <w:hideMark/>
          </w:tcPr>
          <w:p w14:paraId="27622D47"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r>
      <w:tr w:rsidR="00B12B8E" w:rsidRPr="00A1756A" w14:paraId="62BF7474"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6568061D" w14:textId="77777777" w:rsidR="00B12B8E" w:rsidRPr="00A1756A" w:rsidRDefault="00B12B8E" w:rsidP="00B12B8E">
            <w:pPr>
              <w:spacing w:after="0"/>
              <w:jc w:val="center"/>
              <w:rPr>
                <w:rFonts w:eastAsia="Times New Roman" w:cs="Times New Roman"/>
                <w:b/>
                <w:bCs/>
                <w:i/>
                <w:iCs/>
                <w:color w:val="000000"/>
                <w:sz w:val="20"/>
                <w:szCs w:val="20"/>
              </w:rPr>
            </w:pPr>
            <w:r w:rsidRPr="00A1756A">
              <w:rPr>
                <w:rFonts w:eastAsia="Times New Roman" w:cs="Times New Roman"/>
                <w:b/>
                <w:bCs/>
                <w:i/>
                <w:iCs/>
                <w:color w:val="000000"/>
                <w:sz w:val="20"/>
                <w:szCs w:val="20"/>
              </w:rPr>
              <w:t>Built Environment Factors</w:t>
            </w:r>
          </w:p>
        </w:tc>
      </w:tr>
      <w:tr w:rsidR="008D1188" w:rsidRPr="00A1756A" w14:paraId="26C9BCC0" w14:textId="77777777" w:rsidTr="00524FCE">
        <w:trPr>
          <w:trHeight w:val="290"/>
        </w:trPr>
        <w:tc>
          <w:tcPr>
            <w:tcW w:w="1070" w:type="pct"/>
            <w:tcBorders>
              <w:top w:val="nil"/>
              <w:left w:val="single" w:sz="4" w:space="0" w:color="auto"/>
              <w:bottom w:val="single" w:sz="4" w:space="0" w:color="auto"/>
              <w:right w:val="single" w:sz="4" w:space="0" w:color="auto"/>
            </w:tcBorders>
            <w:noWrap/>
            <w:vAlign w:val="center"/>
            <w:hideMark/>
          </w:tcPr>
          <w:p w14:paraId="65E371E3" w14:textId="5E2FFF22"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No. of airports</w:t>
            </w:r>
          </w:p>
        </w:tc>
        <w:tc>
          <w:tcPr>
            <w:tcW w:w="924" w:type="pct"/>
            <w:tcBorders>
              <w:top w:val="nil"/>
              <w:left w:val="nil"/>
              <w:bottom w:val="single" w:sz="4" w:space="0" w:color="auto"/>
              <w:right w:val="single" w:sz="4" w:space="0" w:color="auto"/>
            </w:tcBorders>
            <w:noWrap/>
            <w:vAlign w:val="center"/>
            <w:hideMark/>
          </w:tcPr>
          <w:p w14:paraId="3269428A" w14:textId="77777777" w:rsidR="006050E0" w:rsidRDefault="006050E0" w:rsidP="00B12B8E">
            <w:pPr>
              <w:spacing w:after="0"/>
              <w:rPr>
                <w:rFonts w:eastAsia="Times New Roman" w:cs="Times New Roman"/>
                <w:color w:val="000000"/>
                <w:sz w:val="20"/>
                <w:szCs w:val="20"/>
              </w:rPr>
            </w:pPr>
            <w:r w:rsidRPr="006050E0">
              <w:rPr>
                <w:rFonts w:eastAsia="Times New Roman" w:cs="Times New Roman"/>
                <w:color w:val="000000"/>
                <w:sz w:val="20"/>
                <w:szCs w:val="20"/>
              </w:rPr>
              <w:t>0.36</w:t>
            </w:r>
            <w:r>
              <w:rPr>
                <w:rFonts w:eastAsia="Times New Roman" w:cs="Times New Roman"/>
                <w:color w:val="000000"/>
                <w:sz w:val="20"/>
                <w:szCs w:val="20"/>
              </w:rPr>
              <w:t>6</w:t>
            </w:r>
          </w:p>
          <w:p w14:paraId="6194F2F2" w14:textId="1DE5E6E8"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r w:rsidR="006050E0" w:rsidRPr="006050E0">
              <w:rPr>
                <w:rFonts w:eastAsia="Times New Roman" w:cs="Times New Roman"/>
                <w:color w:val="000000"/>
                <w:sz w:val="20"/>
                <w:szCs w:val="20"/>
              </w:rPr>
              <w:t>7.02</w:t>
            </w:r>
            <w:r w:rsidR="00E169FB">
              <w:rPr>
                <w:rFonts w:eastAsia="Times New Roman" w:cs="Times New Roman"/>
                <w:color w:val="000000"/>
                <w:sz w:val="20"/>
                <w:szCs w:val="20"/>
              </w:rPr>
              <w:t>2</w:t>
            </w:r>
            <w:r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2A3913D1"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6ABA13F6"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9" w:type="pct"/>
            <w:tcBorders>
              <w:top w:val="nil"/>
              <w:left w:val="nil"/>
              <w:bottom w:val="single" w:sz="4" w:space="0" w:color="auto"/>
              <w:right w:val="single" w:sz="4" w:space="0" w:color="auto"/>
            </w:tcBorders>
            <w:noWrap/>
            <w:vAlign w:val="center"/>
            <w:hideMark/>
          </w:tcPr>
          <w:p w14:paraId="7F9CB8CD"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1" w:type="pct"/>
            <w:tcBorders>
              <w:top w:val="nil"/>
              <w:left w:val="nil"/>
              <w:bottom w:val="single" w:sz="4" w:space="0" w:color="auto"/>
              <w:right w:val="single" w:sz="4" w:space="0" w:color="auto"/>
            </w:tcBorders>
            <w:noWrap/>
            <w:vAlign w:val="center"/>
            <w:hideMark/>
          </w:tcPr>
          <w:p w14:paraId="3A6A9B04"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r>
      <w:tr w:rsidR="00B12B8E" w:rsidRPr="00A1756A" w14:paraId="4B49DCDA"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245AD27D" w14:textId="456ACD48"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 xml:space="preserve">Tourism ranking (Base: </w:t>
            </w:r>
            <w:r w:rsidR="00A86E78">
              <w:rPr>
                <w:rFonts w:eastAsia="Times New Roman" w:cs="Times New Roman"/>
                <w:color w:val="000000"/>
                <w:sz w:val="20"/>
                <w:szCs w:val="20"/>
              </w:rPr>
              <w:t>O</w:t>
            </w:r>
            <w:r w:rsidRPr="00A1756A">
              <w:rPr>
                <w:rFonts w:eastAsia="Times New Roman" w:cs="Times New Roman"/>
                <w:color w:val="000000"/>
                <w:sz w:val="20"/>
                <w:szCs w:val="20"/>
              </w:rPr>
              <w:t>ther)</w:t>
            </w:r>
          </w:p>
        </w:tc>
      </w:tr>
      <w:tr w:rsidR="008D1188" w:rsidRPr="00A1756A" w14:paraId="578F777C" w14:textId="77777777" w:rsidTr="00524FCE">
        <w:trPr>
          <w:trHeight w:val="290"/>
        </w:trPr>
        <w:tc>
          <w:tcPr>
            <w:tcW w:w="1070" w:type="pct"/>
            <w:tcBorders>
              <w:top w:val="nil"/>
              <w:left w:val="single" w:sz="4" w:space="0" w:color="auto"/>
              <w:bottom w:val="single" w:sz="4" w:space="0" w:color="auto"/>
              <w:right w:val="single" w:sz="4" w:space="0" w:color="auto"/>
            </w:tcBorders>
            <w:noWrap/>
            <w:vAlign w:val="center"/>
            <w:hideMark/>
          </w:tcPr>
          <w:p w14:paraId="6BAA700F" w14:textId="5DEB0AE9"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 xml:space="preserve">Top 10 </w:t>
            </w:r>
          </w:p>
        </w:tc>
        <w:tc>
          <w:tcPr>
            <w:tcW w:w="924" w:type="pct"/>
            <w:tcBorders>
              <w:top w:val="nil"/>
              <w:left w:val="nil"/>
              <w:bottom w:val="single" w:sz="4" w:space="0" w:color="auto"/>
              <w:right w:val="single" w:sz="4" w:space="0" w:color="auto"/>
            </w:tcBorders>
            <w:noWrap/>
            <w:vAlign w:val="center"/>
            <w:hideMark/>
          </w:tcPr>
          <w:p w14:paraId="3C9E5ABC" w14:textId="77777777" w:rsidR="006050E0" w:rsidRDefault="006050E0" w:rsidP="00B12B8E">
            <w:pPr>
              <w:spacing w:after="0"/>
              <w:rPr>
                <w:rFonts w:eastAsia="Times New Roman" w:cs="Times New Roman"/>
                <w:color w:val="000000"/>
                <w:sz w:val="20"/>
                <w:szCs w:val="20"/>
              </w:rPr>
            </w:pPr>
            <w:r w:rsidRPr="006050E0">
              <w:rPr>
                <w:rFonts w:eastAsia="Times New Roman" w:cs="Times New Roman"/>
                <w:color w:val="000000"/>
                <w:sz w:val="20"/>
                <w:szCs w:val="20"/>
              </w:rPr>
              <w:t xml:space="preserve">0.743 </w:t>
            </w:r>
          </w:p>
          <w:p w14:paraId="0499D9A0" w14:textId="66965CB2"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r w:rsidR="006050E0" w:rsidRPr="006050E0">
              <w:rPr>
                <w:rFonts w:eastAsia="Times New Roman" w:cs="Times New Roman"/>
                <w:color w:val="000000"/>
                <w:sz w:val="20"/>
                <w:szCs w:val="20"/>
              </w:rPr>
              <w:t>9.139</w:t>
            </w:r>
            <w:r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1D3E9170"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045E4604"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9" w:type="pct"/>
            <w:tcBorders>
              <w:top w:val="nil"/>
              <w:left w:val="nil"/>
              <w:bottom w:val="single" w:sz="4" w:space="0" w:color="auto"/>
              <w:right w:val="single" w:sz="4" w:space="0" w:color="auto"/>
            </w:tcBorders>
            <w:noWrap/>
            <w:vAlign w:val="center"/>
            <w:hideMark/>
          </w:tcPr>
          <w:p w14:paraId="2FB0B024"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1" w:type="pct"/>
            <w:tcBorders>
              <w:top w:val="nil"/>
              <w:left w:val="nil"/>
              <w:bottom w:val="single" w:sz="4" w:space="0" w:color="auto"/>
              <w:right w:val="single" w:sz="4" w:space="0" w:color="auto"/>
            </w:tcBorders>
            <w:noWrap/>
            <w:vAlign w:val="center"/>
            <w:hideMark/>
          </w:tcPr>
          <w:p w14:paraId="286220C2"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r>
      <w:tr w:rsidR="00B12B8E" w:rsidRPr="00A1756A" w14:paraId="151987DF"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35E7B50D" w14:textId="77777777" w:rsidR="00B12B8E" w:rsidRPr="00A1756A" w:rsidRDefault="00B12B8E" w:rsidP="00B12B8E">
            <w:pPr>
              <w:spacing w:after="0"/>
              <w:jc w:val="center"/>
              <w:rPr>
                <w:rFonts w:eastAsia="Times New Roman" w:cs="Times New Roman"/>
                <w:b/>
                <w:bCs/>
                <w:i/>
                <w:iCs/>
                <w:color w:val="000000"/>
                <w:sz w:val="20"/>
                <w:szCs w:val="20"/>
              </w:rPr>
            </w:pPr>
            <w:r w:rsidRPr="00A1756A">
              <w:rPr>
                <w:rFonts w:eastAsia="Times New Roman" w:cs="Times New Roman"/>
                <w:b/>
                <w:bCs/>
                <w:i/>
                <w:iCs/>
                <w:color w:val="000000"/>
                <w:sz w:val="20"/>
                <w:szCs w:val="20"/>
              </w:rPr>
              <w:t>Spatial Factors</w:t>
            </w:r>
          </w:p>
        </w:tc>
      </w:tr>
      <w:tr w:rsidR="00B12B8E" w:rsidRPr="00A1756A" w14:paraId="75F0933E" w14:textId="77777777" w:rsidTr="00524FCE">
        <w:trPr>
          <w:trHeight w:val="29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0F7E28D1" w14:textId="06663596"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 xml:space="preserve">Region (Base: </w:t>
            </w:r>
            <w:r w:rsidR="00A86E78">
              <w:rPr>
                <w:rFonts w:eastAsia="Times New Roman" w:cs="Times New Roman"/>
                <w:color w:val="000000"/>
                <w:sz w:val="20"/>
                <w:szCs w:val="20"/>
              </w:rPr>
              <w:t>O</w:t>
            </w:r>
            <w:r w:rsidRPr="00A1756A">
              <w:rPr>
                <w:rFonts w:eastAsia="Times New Roman" w:cs="Times New Roman"/>
                <w:color w:val="000000"/>
                <w:sz w:val="20"/>
                <w:szCs w:val="20"/>
              </w:rPr>
              <w:t>ther regions)</w:t>
            </w:r>
          </w:p>
        </w:tc>
      </w:tr>
      <w:tr w:rsidR="008D1188" w:rsidRPr="00A1756A" w14:paraId="41DBA9BF" w14:textId="77777777" w:rsidTr="00524FCE">
        <w:trPr>
          <w:trHeight w:val="290"/>
        </w:trPr>
        <w:tc>
          <w:tcPr>
            <w:tcW w:w="1070" w:type="pct"/>
            <w:tcBorders>
              <w:top w:val="nil"/>
              <w:left w:val="single" w:sz="4" w:space="0" w:color="auto"/>
              <w:bottom w:val="single" w:sz="4" w:space="0" w:color="auto"/>
              <w:right w:val="single" w:sz="4" w:space="0" w:color="auto"/>
            </w:tcBorders>
            <w:noWrap/>
            <w:vAlign w:val="center"/>
            <w:hideMark/>
          </w:tcPr>
          <w:p w14:paraId="294DB001"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South</w:t>
            </w:r>
          </w:p>
        </w:tc>
        <w:tc>
          <w:tcPr>
            <w:tcW w:w="924" w:type="pct"/>
            <w:tcBorders>
              <w:top w:val="nil"/>
              <w:left w:val="nil"/>
              <w:bottom w:val="single" w:sz="4" w:space="0" w:color="auto"/>
              <w:right w:val="single" w:sz="4" w:space="0" w:color="auto"/>
            </w:tcBorders>
            <w:noWrap/>
            <w:vAlign w:val="center"/>
            <w:hideMark/>
          </w:tcPr>
          <w:p w14:paraId="037F99B2" w14:textId="77777777" w:rsidR="006050E0" w:rsidRDefault="006050E0" w:rsidP="00B12B8E">
            <w:pPr>
              <w:spacing w:after="0"/>
              <w:rPr>
                <w:rFonts w:eastAsia="Times New Roman" w:cs="Times New Roman"/>
                <w:color w:val="000000"/>
                <w:sz w:val="20"/>
                <w:szCs w:val="20"/>
              </w:rPr>
            </w:pPr>
            <w:r w:rsidRPr="006050E0">
              <w:rPr>
                <w:rFonts w:eastAsia="Times New Roman" w:cs="Times New Roman"/>
                <w:color w:val="000000"/>
                <w:sz w:val="20"/>
                <w:szCs w:val="20"/>
              </w:rPr>
              <w:t>0.18</w:t>
            </w:r>
            <w:r>
              <w:rPr>
                <w:rFonts w:eastAsia="Times New Roman" w:cs="Times New Roman"/>
                <w:color w:val="000000"/>
                <w:sz w:val="20"/>
                <w:szCs w:val="20"/>
              </w:rPr>
              <w:t>3</w:t>
            </w:r>
          </w:p>
          <w:p w14:paraId="2465E138" w14:textId="569DE6EC"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r w:rsidR="006050E0" w:rsidRPr="006050E0">
              <w:rPr>
                <w:rFonts w:eastAsia="Times New Roman" w:cs="Times New Roman"/>
                <w:color w:val="000000"/>
                <w:sz w:val="20"/>
                <w:szCs w:val="20"/>
              </w:rPr>
              <w:t>2.26</w:t>
            </w:r>
            <w:r w:rsidR="00E169FB">
              <w:rPr>
                <w:rFonts w:eastAsia="Times New Roman" w:cs="Times New Roman"/>
                <w:color w:val="000000"/>
                <w:sz w:val="20"/>
                <w:szCs w:val="20"/>
              </w:rPr>
              <w:t>2</w:t>
            </w:r>
            <w:r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737DE66D"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78" w:type="pct"/>
            <w:tcBorders>
              <w:top w:val="nil"/>
              <w:left w:val="nil"/>
              <w:bottom w:val="single" w:sz="4" w:space="0" w:color="auto"/>
              <w:right w:val="single" w:sz="4" w:space="0" w:color="auto"/>
            </w:tcBorders>
            <w:noWrap/>
            <w:vAlign w:val="center"/>
            <w:hideMark/>
          </w:tcPr>
          <w:p w14:paraId="3FFDCF92"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9" w:type="pct"/>
            <w:tcBorders>
              <w:top w:val="nil"/>
              <w:left w:val="nil"/>
              <w:bottom w:val="single" w:sz="4" w:space="0" w:color="auto"/>
              <w:right w:val="single" w:sz="4" w:space="0" w:color="auto"/>
            </w:tcBorders>
            <w:noWrap/>
            <w:vAlign w:val="center"/>
            <w:hideMark/>
          </w:tcPr>
          <w:p w14:paraId="0710E424"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c>
          <w:tcPr>
            <w:tcW w:w="721" w:type="pct"/>
            <w:tcBorders>
              <w:top w:val="nil"/>
              <w:left w:val="nil"/>
              <w:bottom w:val="single" w:sz="4" w:space="0" w:color="auto"/>
              <w:right w:val="single" w:sz="4" w:space="0" w:color="auto"/>
            </w:tcBorders>
            <w:noWrap/>
            <w:vAlign w:val="center"/>
            <w:hideMark/>
          </w:tcPr>
          <w:p w14:paraId="2E0CF339" w14:textId="77777777" w:rsidR="00B12B8E" w:rsidRPr="00A1756A" w:rsidRDefault="00B12B8E" w:rsidP="00B12B8E">
            <w:pPr>
              <w:spacing w:after="0"/>
              <w:rPr>
                <w:rFonts w:eastAsia="Times New Roman" w:cs="Times New Roman"/>
                <w:color w:val="000000"/>
                <w:sz w:val="20"/>
                <w:szCs w:val="20"/>
              </w:rPr>
            </w:pPr>
            <w:r w:rsidRPr="00A1756A">
              <w:rPr>
                <w:rFonts w:eastAsia="Times New Roman" w:cs="Times New Roman"/>
                <w:color w:val="000000"/>
                <w:sz w:val="20"/>
                <w:szCs w:val="20"/>
              </w:rPr>
              <w:t>--</w:t>
            </w:r>
          </w:p>
        </w:tc>
      </w:tr>
    </w:tbl>
    <w:p w14:paraId="2647F9EB" w14:textId="583D4547" w:rsidR="007C5C92" w:rsidRDefault="007C5C92" w:rsidP="007C5C92"/>
    <w:p w14:paraId="3E655939" w14:textId="068550F9" w:rsidR="006B2BE9" w:rsidRDefault="0001690D" w:rsidP="006B2BE9">
      <w:pPr>
        <w:pStyle w:val="Heading2"/>
      </w:pPr>
      <w:r>
        <w:t>Policy</w:t>
      </w:r>
      <w:r w:rsidR="006B2BE9">
        <w:t xml:space="preserve"> Exercise</w:t>
      </w:r>
    </w:p>
    <w:p w14:paraId="511CBE0B" w14:textId="6A07EBEB" w:rsidR="006B2BE9" w:rsidRDefault="006B2BE9" w:rsidP="006B2BE9">
      <w:pPr>
        <w:jc w:val="both"/>
      </w:pPr>
      <w:r>
        <w:t xml:space="preserve">As is evident </w:t>
      </w:r>
      <w:r w:rsidR="00BA245B">
        <w:t>from the</w:t>
      </w:r>
      <w:r>
        <w:t xml:space="preserve"> results section, the effect of independent variables in MGOL model </w:t>
      </w:r>
      <w:r w:rsidR="00BA245B">
        <w:t>are</w:t>
      </w:r>
      <w:r>
        <w:t xml:space="preserve"> </w:t>
      </w:r>
      <w:r w:rsidR="000926CA">
        <w:t xml:space="preserve">complex </w:t>
      </w:r>
      <w:r>
        <w:t xml:space="preserve">and can only be </w:t>
      </w:r>
      <w:r w:rsidR="000926CA">
        <w:t xml:space="preserve">determined </w:t>
      </w:r>
      <w:r>
        <w:t xml:space="preserve">by </w:t>
      </w:r>
      <w:r w:rsidR="00BA245B">
        <w:t>examining</w:t>
      </w:r>
      <w:r>
        <w:t xml:space="preserve"> the </w:t>
      </w:r>
      <w:r w:rsidR="00BA245B">
        <w:t>variable impacts in</w:t>
      </w:r>
      <w:r>
        <w:t xml:space="preserve"> propensity and thresholds</w:t>
      </w:r>
      <w:r w:rsidR="00BA245B">
        <w:t xml:space="preserve"> </w:t>
      </w:r>
      <w:r w:rsidR="000926CA">
        <w:t>collectively</w:t>
      </w:r>
      <w:r>
        <w:t xml:space="preserve">. </w:t>
      </w:r>
      <w:r w:rsidR="00BA245B">
        <w:t xml:space="preserve">Hence, to allow for an easier understanding of variable impacts across the various alternatives, we conducted a policy exercise. </w:t>
      </w:r>
      <w:r>
        <w:t xml:space="preserve">In this </w:t>
      </w:r>
      <w:r w:rsidR="00BA245B">
        <w:t>policy exercise</w:t>
      </w:r>
      <w:r>
        <w:t xml:space="preserve">, we </w:t>
      </w:r>
      <w:r w:rsidR="00BA245B">
        <w:t xml:space="preserve">examine </w:t>
      </w:r>
      <w:r>
        <w:t xml:space="preserve">the changes </w:t>
      </w:r>
      <w:r w:rsidR="00BA245B">
        <w:t xml:space="preserve">in alternative level </w:t>
      </w:r>
      <w:r>
        <w:t xml:space="preserve">aggregate probability </w:t>
      </w:r>
      <w:r w:rsidR="000926CA">
        <w:t>due</w:t>
      </w:r>
      <w:r>
        <w:t xml:space="preserve"> to change</w:t>
      </w:r>
      <w:r w:rsidR="000926CA">
        <w:t xml:space="preserve">sin </w:t>
      </w:r>
      <w:r>
        <w:t xml:space="preserve">independent variables. </w:t>
      </w:r>
      <w:r w:rsidR="00476BFF">
        <w:t>For our exercise</w:t>
      </w:r>
      <w:r>
        <w:t>, we quantify the impact of a subset independent variables</w:t>
      </w:r>
      <w:r w:rsidR="00BC77C2">
        <w:t xml:space="preserve"> including continuous and categorical variables</w:t>
      </w:r>
      <w:r>
        <w:t xml:space="preserve">. Among continuous variables, we consider </w:t>
      </w:r>
      <w:r w:rsidR="00476BFF">
        <w:t xml:space="preserve">a 25% increase in </w:t>
      </w:r>
      <w:r>
        <w:t xml:space="preserve">population, median income, and number of airports. </w:t>
      </w:r>
      <w:r w:rsidRPr="00966AD2">
        <w:t>Among categorical variables, we select education status – low indicator variable</w:t>
      </w:r>
      <w:r w:rsidR="00476BFF" w:rsidRPr="00966AD2">
        <w:t xml:space="preserve"> and modify 25% of </w:t>
      </w:r>
      <w:r w:rsidR="00966AD2" w:rsidRPr="00966AD2">
        <w:t>high-education status (indicator</w:t>
      </w:r>
      <w:r w:rsidR="00274F30">
        <w:t xml:space="preserve"> value</w:t>
      </w:r>
      <w:r w:rsidR="00966AD2" w:rsidRPr="00966AD2">
        <w:t>=0)</w:t>
      </w:r>
      <w:r w:rsidR="00476BFF" w:rsidRPr="00966AD2">
        <w:t xml:space="preserve"> records </w:t>
      </w:r>
      <w:r w:rsidR="00423B03" w:rsidRPr="00966AD2">
        <w:t xml:space="preserve">and set them to </w:t>
      </w:r>
      <w:r w:rsidR="00966AD2" w:rsidRPr="00966AD2">
        <w:t>1</w:t>
      </w:r>
      <w:r w:rsidRPr="00966AD2">
        <w:t>.</w:t>
      </w:r>
      <w:r>
        <w:t xml:space="preserve"> </w:t>
      </w:r>
      <w:r w:rsidR="00423B03">
        <w:t>The changes to alternative probabilities are computed in two steps. In step one, for each record, we compute the predicted probability for each alternative for the original independent variables and aggregate the probabilities across all records. In step two, we repeat the same procedure for modified variables (as described above)</w:t>
      </w:r>
      <w:r w:rsidR="00C31D20">
        <w:t xml:space="preserve"> and compute the new aggregate values. A percentage change measure is computed using the alternative specific aggregate values from the two computations. </w:t>
      </w:r>
      <w:r>
        <w:t xml:space="preserve">The result of the analysis is presented in Figure 1. From the figure, we can see that 25% increase of population, median income and number of airports increases the probabilities of higher order categories. Therefore, </w:t>
      </w:r>
      <w:r w:rsidR="00C31D20">
        <w:t xml:space="preserve">as expected, the </w:t>
      </w:r>
      <w:r>
        <w:t xml:space="preserve">overall impact of population, median income, and number of airports on airline demand are positive. Conversely, the impact of low education status is negative as aggregate probabilities of higher order alternatives decrease due to increase in proportion of education status – low. </w:t>
      </w:r>
      <w:r w:rsidR="00C31D20">
        <w:t>The analysis illustrates how the results from the MGOL model can be employed for policy exercises</w:t>
      </w:r>
      <w:r w:rsidR="00425CE6">
        <w:rPr>
          <w:rStyle w:val="FootnoteReference"/>
        </w:rPr>
        <w:footnoteReference w:id="3"/>
      </w:r>
      <w:r w:rsidR="00C31D20">
        <w:t xml:space="preserve">. </w:t>
      </w:r>
      <w:r>
        <w:t xml:space="preserve"> </w:t>
      </w:r>
    </w:p>
    <w:p w14:paraId="56B379C5" w14:textId="44718F64" w:rsidR="006B2BE9" w:rsidRDefault="008F7FCB" w:rsidP="006B2BE9">
      <w:pPr>
        <w:jc w:val="both"/>
      </w:pPr>
      <w:r>
        <w:rPr>
          <w:noProof/>
        </w:rPr>
        <w:drawing>
          <wp:inline distT="0" distB="0" distL="0" distR="0" wp14:anchorId="5396D9F3" wp14:editId="05624180">
            <wp:extent cx="5359400" cy="3263900"/>
            <wp:effectExtent l="0" t="0" r="12700" b="12700"/>
            <wp:docPr id="426672669" name="Chart 1">
              <a:extLst xmlns:a="http://schemas.openxmlformats.org/drawingml/2006/main">
                <a:ext uri="{FF2B5EF4-FFF2-40B4-BE49-F238E27FC236}">
                  <a16:creationId xmlns:a16="http://schemas.microsoft.com/office/drawing/2014/main" id="{5414DDAB-0D86-4C99-B408-8E2B80F2F2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E53693C" w14:textId="6F4EF04D" w:rsidR="006B2BE9" w:rsidRPr="000C2874" w:rsidRDefault="006B2BE9" w:rsidP="006B2BE9">
      <w:pPr>
        <w:jc w:val="both"/>
        <w:rPr>
          <w:b/>
          <w:bCs/>
        </w:rPr>
      </w:pPr>
      <w:r w:rsidRPr="000C2874">
        <w:rPr>
          <w:b/>
          <w:bCs/>
        </w:rPr>
        <w:t xml:space="preserve">FIGURE 1 Results of </w:t>
      </w:r>
      <w:r w:rsidR="00707816" w:rsidRPr="000C2874">
        <w:rPr>
          <w:b/>
          <w:bCs/>
        </w:rPr>
        <w:t>P</w:t>
      </w:r>
      <w:r w:rsidR="00707816">
        <w:rPr>
          <w:b/>
          <w:bCs/>
        </w:rPr>
        <w:t>olicy</w:t>
      </w:r>
      <w:r w:rsidR="00707816" w:rsidRPr="000C2874">
        <w:rPr>
          <w:b/>
          <w:bCs/>
        </w:rPr>
        <w:t xml:space="preserve"> </w:t>
      </w:r>
      <w:r w:rsidRPr="000C2874">
        <w:rPr>
          <w:b/>
          <w:bCs/>
        </w:rPr>
        <w:t xml:space="preserve">Exercise     </w:t>
      </w:r>
    </w:p>
    <w:p w14:paraId="0004F8F7" w14:textId="4A44D889" w:rsidR="0011610F" w:rsidRDefault="00C52F51" w:rsidP="000B08D8">
      <w:pPr>
        <w:pStyle w:val="Heading1"/>
      </w:pPr>
      <w:r>
        <w:t>Concluding Remarks</w:t>
      </w:r>
    </w:p>
    <w:p w14:paraId="0CE1BA7A" w14:textId="58C02598" w:rsidR="0011610F" w:rsidRDefault="00C336C6" w:rsidP="002E717C">
      <w:pPr>
        <w:spacing w:after="160"/>
        <w:jc w:val="both"/>
        <w:rPr>
          <w:rFonts w:cs="Times New Roman"/>
          <w:szCs w:val="24"/>
        </w:rPr>
      </w:pPr>
      <w:r>
        <w:rPr>
          <w:rFonts w:cs="Times New Roman"/>
          <w:szCs w:val="24"/>
        </w:rPr>
        <w:t>Ordered response models, a specific class of discrete outcome models, are widely employed for modeling ordered discrete variables.</w:t>
      </w:r>
      <w:r w:rsidRPr="00EC5CEA">
        <w:t xml:space="preserve"> </w:t>
      </w:r>
      <w:r>
        <w:rPr>
          <w:rFonts w:cs="Times New Roman"/>
          <w:szCs w:val="24"/>
        </w:rPr>
        <w:t xml:space="preserve">In ordered response frameworks, </w:t>
      </w:r>
      <w:r w:rsidRPr="009C0403">
        <w:rPr>
          <w:rFonts w:cs="Times New Roman"/>
          <w:szCs w:val="24"/>
        </w:rPr>
        <w:t xml:space="preserve">a uni-dimensional latent propensity equation is partitioned </w:t>
      </w:r>
      <w:r>
        <w:rPr>
          <w:rFonts w:cs="Times New Roman"/>
          <w:szCs w:val="24"/>
        </w:rPr>
        <w:t xml:space="preserve">using a set of fixed </w:t>
      </w:r>
      <w:r w:rsidRPr="009C0403">
        <w:rPr>
          <w:rFonts w:cs="Times New Roman"/>
          <w:szCs w:val="24"/>
        </w:rPr>
        <w:t xml:space="preserve">thresholds to </w:t>
      </w:r>
      <w:r>
        <w:rPr>
          <w:rFonts w:cs="Times New Roman"/>
          <w:szCs w:val="24"/>
        </w:rPr>
        <w:t>compute</w:t>
      </w:r>
      <w:r w:rsidRPr="009C0403">
        <w:rPr>
          <w:rFonts w:cs="Times New Roman"/>
          <w:szCs w:val="24"/>
        </w:rPr>
        <w:t xml:space="preserve"> the probabilit</w:t>
      </w:r>
      <w:r>
        <w:rPr>
          <w:rFonts w:cs="Times New Roman"/>
          <w:szCs w:val="24"/>
        </w:rPr>
        <w:t xml:space="preserve">y </w:t>
      </w:r>
      <w:r w:rsidRPr="009C0403">
        <w:rPr>
          <w:rFonts w:cs="Times New Roman"/>
          <w:szCs w:val="24"/>
        </w:rPr>
        <w:t>of the o</w:t>
      </w:r>
      <w:r>
        <w:rPr>
          <w:rFonts w:cs="Times New Roman"/>
          <w:szCs w:val="24"/>
        </w:rPr>
        <w:t>rdered</w:t>
      </w:r>
      <w:r w:rsidRPr="009C0403">
        <w:rPr>
          <w:rFonts w:cs="Times New Roman"/>
          <w:szCs w:val="24"/>
        </w:rPr>
        <w:t xml:space="preserve"> </w:t>
      </w:r>
      <w:r>
        <w:rPr>
          <w:rFonts w:cs="Times New Roman"/>
          <w:szCs w:val="24"/>
        </w:rPr>
        <w:t>alternatives</w:t>
      </w:r>
      <w:r w:rsidRPr="009C0403">
        <w:rPr>
          <w:rFonts w:cs="Times New Roman"/>
          <w:szCs w:val="24"/>
        </w:rPr>
        <w:t>.</w:t>
      </w:r>
      <w:r w:rsidR="00EC5CEA">
        <w:t xml:space="preserve"> </w:t>
      </w:r>
      <w:r w:rsidR="001E3BAE">
        <w:rPr>
          <w:rFonts w:cs="Times New Roman"/>
          <w:szCs w:val="24"/>
        </w:rPr>
        <w:t xml:space="preserve">The restrictive assumption in traditional ordered models can be relaxed by allowing for the </w:t>
      </w:r>
      <w:r w:rsidR="00D75E91">
        <w:rPr>
          <w:rFonts w:cs="Times New Roman"/>
          <w:szCs w:val="24"/>
        </w:rPr>
        <w:t xml:space="preserve">impact </w:t>
      </w:r>
      <w:r w:rsidR="001E3BAE">
        <w:rPr>
          <w:rFonts w:cs="Times New Roman"/>
          <w:szCs w:val="24"/>
        </w:rPr>
        <w:t xml:space="preserve">of </w:t>
      </w:r>
      <w:r w:rsidR="00D75E91">
        <w:rPr>
          <w:rFonts w:cs="Times New Roman"/>
          <w:szCs w:val="24"/>
        </w:rPr>
        <w:t>exogenous/</w:t>
      </w:r>
      <w:r w:rsidR="001E3BAE">
        <w:rPr>
          <w:rFonts w:cs="Times New Roman"/>
          <w:szCs w:val="24"/>
        </w:rPr>
        <w:t>independent variables vary across the alternative space using two formulations: Generalized Ordered Response model and P</w:t>
      </w:r>
      <w:r w:rsidR="001E3BAE" w:rsidRPr="008670BA">
        <w:rPr>
          <w:rFonts w:cs="Times New Roman"/>
          <w:szCs w:val="24"/>
        </w:rPr>
        <w:t>artial</w:t>
      </w:r>
      <w:r w:rsidR="001E3BAE">
        <w:rPr>
          <w:rFonts w:cs="Times New Roman"/>
          <w:szCs w:val="24"/>
        </w:rPr>
        <w:t xml:space="preserve"> P</w:t>
      </w:r>
      <w:r w:rsidR="001E3BAE" w:rsidRPr="008670BA">
        <w:rPr>
          <w:rFonts w:cs="Times New Roman"/>
          <w:szCs w:val="24"/>
        </w:rPr>
        <w:t xml:space="preserve">roportional </w:t>
      </w:r>
      <w:r w:rsidR="001E3BAE">
        <w:rPr>
          <w:rFonts w:cs="Times New Roman"/>
          <w:szCs w:val="24"/>
        </w:rPr>
        <w:t>O</w:t>
      </w:r>
      <w:r w:rsidR="001E3BAE" w:rsidRPr="008670BA">
        <w:rPr>
          <w:rFonts w:cs="Times New Roman"/>
          <w:szCs w:val="24"/>
        </w:rPr>
        <w:t>dds</w:t>
      </w:r>
      <w:r w:rsidR="001E3BAE">
        <w:rPr>
          <w:rFonts w:cs="Times New Roman"/>
          <w:szCs w:val="24"/>
        </w:rPr>
        <w:t xml:space="preserve"> </w:t>
      </w:r>
      <w:r w:rsidR="001E3BAE" w:rsidRPr="008670BA">
        <w:rPr>
          <w:rFonts w:cs="Times New Roman"/>
          <w:szCs w:val="24"/>
        </w:rPr>
        <w:t>model</w:t>
      </w:r>
      <w:r w:rsidR="001E3BAE">
        <w:rPr>
          <w:rFonts w:cs="Times New Roman"/>
          <w:szCs w:val="24"/>
        </w:rPr>
        <w:t>.</w:t>
      </w:r>
      <w:r w:rsidR="00EC5CEA">
        <w:rPr>
          <w:rFonts w:cs="Times New Roman"/>
          <w:szCs w:val="24"/>
        </w:rPr>
        <w:t xml:space="preserve"> </w:t>
      </w:r>
      <w:r w:rsidR="001E3BAE">
        <w:rPr>
          <w:rFonts w:cs="Times New Roman"/>
          <w:szCs w:val="24"/>
        </w:rPr>
        <w:t xml:space="preserve">In this chapter, we provide a discussion on ordered response frameworks including mathematical details of </w:t>
      </w:r>
      <w:r w:rsidR="00613292">
        <w:rPr>
          <w:rFonts w:cs="Times New Roman"/>
          <w:szCs w:val="24"/>
        </w:rPr>
        <w:t xml:space="preserve">traditional </w:t>
      </w:r>
      <w:r w:rsidR="001E3BAE">
        <w:rPr>
          <w:rFonts w:cs="Times New Roman"/>
          <w:szCs w:val="24"/>
        </w:rPr>
        <w:t xml:space="preserve">ordered </w:t>
      </w:r>
      <w:r w:rsidR="00613292">
        <w:rPr>
          <w:rFonts w:cs="Times New Roman"/>
          <w:szCs w:val="24"/>
        </w:rPr>
        <w:t>response model</w:t>
      </w:r>
      <w:r w:rsidR="001E3BAE">
        <w:rPr>
          <w:rFonts w:cs="Times New Roman"/>
          <w:szCs w:val="24"/>
        </w:rPr>
        <w:t xml:space="preserve">, generalized ordered </w:t>
      </w:r>
      <w:r w:rsidR="00613292">
        <w:rPr>
          <w:rFonts w:cs="Times New Roman"/>
          <w:szCs w:val="24"/>
        </w:rPr>
        <w:t xml:space="preserve">response model </w:t>
      </w:r>
      <w:r w:rsidR="001E3BAE">
        <w:rPr>
          <w:rFonts w:cs="Times New Roman"/>
          <w:szCs w:val="24"/>
        </w:rPr>
        <w:t xml:space="preserve">and mixed generalized ordered </w:t>
      </w:r>
      <w:r w:rsidR="00613292">
        <w:rPr>
          <w:rFonts w:cs="Times New Roman"/>
          <w:szCs w:val="24"/>
        </w:rPr>
        <w:t>response model</w:t>
      </w:r>
      <w:r w:rsidR="001E3BAE">
        <w:rPr>
          <w:rFonts w:cs="Times New Roman"/>
          <w:szCs w:val="24"/>
        </w:rPr>
        <w:t xml:space="preserve">. </w:t>
      </w:r>
      <w:r w:rsidR="00613292">
        <w:rPr>
          <w:rFonts w:cs="Times New Roman"/>
          <w:szCs w:val="24"/>
        </w:rPr>
        <w:t>W</w:t>
      </w:r>
      <w:r w:rsidR="00EC5CEA">
        <w:rPr>
          <w:rFonts w:cs="Times New Roman"/>
          <w:szCs w:val="24"/>
        </w:rPr>
        <w:t xml:space="preserve">e </w:t>
      </w:r>
      <w:r w:rsidR="00613292">
        <w:rPr>
          <w:rFonts w:cs="Times New Roman"/>
          <w:szCs w:val="24"/>
        </w:rPr>
        <w:t xml:space="preserve">also provide an </w:t>
      </w:r>
      <w:r w:rsidR="00EC5CEA">
        <w:rPr>
          <w:rFonts w:cs="Times New Roman"/>
          <w:szCs w:val="24"/>
        </w:rPr>
        <w:t xml:space="preserve">application of MGOL model using air passenger demand data at US airports for multiple years. </w:t>
      </w:r>
      <w:r w:rsidR="00D814BF">
        <w:rPr>
          <w:rFonts w:cs="Times New Roman"/>
          <w:szCs w:val="24"/>
        </w:rPr>
        <w:t>In model development, we consider different variants of order response model including traditional ordered logit model, generalized ordered logit model and mixed generalized ordered logit model. Among the alternative model</w:t>
      </w:r>
      <w:r w:rsidR="008F0198">
        <w:rPr>
          <w:rFonts w:cs="Times New Roman"/>
          <w:szCs w:val="24"/>
        </w:rPr>
        <w:t xml:space="preserve">s, MGOL model offers the best data fit in terms of LL and BIC measures. </w:t>
      </w:r>
      <w:r w:rsidR="00EC5CEA">
        <w:rPr>
          <w:rFonts w:cs="Times New Roman"/>
          <w:szCs w:val="24"/>
        </w:rPr>
        <w:t>The result</w:t>
      </w:r>
      <w:r w:rsidR="008778C2">
        <w:rPr>
          <w:rFonts w:cs="Times New Roman"/>
          <w:szCs w:val="24"/>
        </w:rPr>
        <w:t>s</w:t>
      </w:r>
      <w:r w:rsidR="008F0198">
        <w:rPr>
          <w:rFonts w:cs="Times New Roman"/>
          <w:szCs w:val="24"/>
        </w:rPr>
        <w:t xml:space="preserve"> from MGOL model </w:t>
      </w:r>
      <w:r w:rsidR="00EC5CEA">
        <w:rPr>
          <w:rFonts w:cs="Times New Roman"/>
          <w:szCs w:val="24"/>
        </w:rPr>
        <w:t xml:space="preserve">highlight that MSA specific </w:t>
      </w:r>
      <w:r w:rsidR="00020DF8">
        <w:rPr>
          <w:rFonts w:cs="Times New Roman"/>
          <w:szCs w:val="24"/>
        </w:rPr>
        <w:t>socio-</w:t>
      </w:r>
      <w:r w:rsidR="00EC5CEA">
        <w:rPr>
          <w:rFonts w:cs="Times New Roman"/>
          <w:szCs w:val="24"/>
        </w:rPr>
        <w:t xml:space="preserve">demographic characteristics, built environment factors and spatial factors are strongly associated with passenger demand at the US airports. </w:t>
      </w:r>
      <w:r w:rsidR="008F0198">
        <w:rPr>
          <w:rFonts w:cs="Times New Roman"/>
          <w:szCs w:val="24"/>
        </w:rPr>
        <w:t xml:space="preserve">Moreover, we found population standard deviation parameter significant in MGOL model highlighting </w:t>
      </w:r>
      <w:r w:rsidR="00020DF8">
        <w:rPr>
          <w:rFonts w:cs="Times New Roman"/>
          <w:szCs w:val="24"/>
        </w:rPr>
        <w:t>how</w:t>
      </w:r>
      <w:r w:rsidR="008F0198">
        <w:rPr>
          <w:rFonts w:cs="Times New Roman"/>
          <w:szCs w:val="24"/>
        </w:rPr>
        <w:t xml:space="preserve"> unobserved factors influenc</w:t>
      </w:r>
      <w:r w:rsidR="00020DF8">
        <w:rPr>
          <w:rFonts w:cs="Times New Roman"/>
          <w:szCs w:val="24"/>
        </w:rPr>
        <w:t>e</w:t>
      </w:r>
      <w:r w:rsidR="008F0198">
        <w:rPr>
          <w:rFonts w:cs="Times New Roman"/>
          <w:szCs w:val="24"/>
        </w:rPr>
        <w:t xml:space="preserve"> the effect of population on airline demand. </w:t>
      </w:r>
      <w:r w:rsidR="00613292">
        <w:rPr>
          <w:rFonts w:cs="Times New Roman"/>
          <w:szCs w:val="24"/>
        </w:rPr>
        <w:t>The book chapter provides a</w:t>
      </w:r>
      <w:r w:rsidR="00027E0F">
        <w:rPr>
          <w:rFonts w:cs="Times New Roman"/>
          <w:szCs w:val="24"/>
        </w:rPr>
        <w:t xml:space="preserve">n illustration of how various ordered response models can be applied in practice. </w:t>
      </w:r>
      <w:r w:rsidR="00E560AB">
        <w:rPr>
          <w:rFonts w:cs="Times New Roman"/>
          <w:szCs w:val="24"/>
        </w:rPr>
        <w:t xml:space="preserve">  </w:t>
      </w:r>
      <w:r w:rsidR="00EC5CEA">
        <w:rPr>
          <w:rFonts w:cs="Times New Roman"/>
          <w:szCs w:val="24"/>
        </w:rPr>
        <w:t xml:space="preserve">  </w:t>
      </w:r>
    </w:p>
    <w:p w14:paraId="5ABF3390" w14:textId="6016D666" w:rsidR="00F12C28" w:rsidRDefault="0011610F" w:rsidP="0011610F">
      <w:pPr>
        <w:pStyle w:val="Heading1"/>
        <w:numPr>
          <w:ilvl w:val="0"/>
          <w:numId w:val="0"/>
        </w:numPr>
        <w:ind w:left="432" w:hanging="432"/>
      </w:pPr>
      <w:r>
        <w:t>References</w:t>
      </w:r>
    </w:p>
    <w:p w14:paraId="121FB09B" w14:textId="0117D6D9" w:rsidR="007B5955" w:rsidRDefault="007B5955" w:rsidP="007B5955">
      <w:pPr>
        <w:spacing w:after="0"/>
        <w:ind w:left="450" w:hanging="450"/>
        <w:jc w:val="both"/>
      </w:pPr>
      <w:r>
        <w:t xml:space="preserve">Abegaz T, Berhane Y, Worku A, Assrat A, Assefa A (2014) Effects of excessive speeding and falling asleep while driving on crash injury severity in Ethiopia: A generalized ordered logit model analysis. Accid Anal Prev 71:15–21. </w:t>
      </w:r>
    </w:p>
    <w:p w14:paraId="64C6E4AD" w14:textId="0A9A005A" w:rsidR="007B5955" w:rsidRDefault="007B5955" w:rsidP="007B5955">
      <w:pPr>
        <w:spacing w:after="0"/>
        <w:ind w:left="450" w:hanging="450"/>
        <w:jc w:val="both"/>
      </w:pPr>
      <w:r>
        <w:t xml:space="preserve">Abrudan IN, Pop CM, Lazăr PS (2020) Using a general ordered logit model to explain the influence of hotel facilities, general and sustainability-related, on customer ratings. Sustain 12(21):1–21. </w:t>
      </w:r>
    </w:p>
    <w:p w14:paraId="3D3FADCB" w14:textId="510C350B" w:rsidR="007B5955" w:rsidRDefault="007B5955" w:rsidP="007B5955">
      <w:pPr>
        <w:spacing w:after="0"/>
        <w:ind w:left="450" w:hanging="450"/>
        <w:jc w:val="both"/>
      </w:pPr>
      <w:r>
        <w:t xml:space="preserve">Aidoo EN, Ackaah W (2021) A generalized ordered logit analysis of risk factors associated with driver injury severity. J Public Heal 29(2):471–477. </w:t>
      </w:r>
    </w:p>
    <w:p w14:paraId="4EFB22A1" w14:textId="5C5BBCC0" w:rsidR="007B5955" w:rsidRDefault="007B5955" w:rsidP="007B5955">
      <w:pPr>
        <w:spacing w:after="0"/>
        <w:ind w:left="450" w:hanging="450"/>
        <w:jc w:val="both"/>
      </w:pPr>
      <w:r>
        <w:t xml:space="preserve">Alemi F, Circella G, Mokhtarian P, Handy S (2019) What drives the use of ridehailing in California? Ordered probit models of the usage frequency of Uber and Lyft. Transp Res Part C Emerg Technol 102(May 2018):233–248. </w:t>
      </w:r>
    </w:p>
    <w:p w14:paraId="136C6B2F" w14:textId="4664FA80" w:rsidR="007B5955" w:rsidRDefault="007B5955" w:rsidP="007B5955">
      <w:pPr>
        <w:spacing w:after="0"/>
        <w:ind w:left="450" w:hanging="450"/>
        <w:jc w:val="both"/>
      </w:pPr>
      <w:r>
        <w:t xml:space="preserve">AlKheder S (2023) Studying the effect of built environment on traffic safety with random parameter and generalized ordered logit models. Urban Clim 47(December 2022):101388. </w:t>
      </w:r>
    </w:p>
    <w:p w14:paraId="4158A4BE" w14:textId="2AEAD7CB" w:rsidR="007B5955" w:rsidRDefault="007B5955" w:rsidP="007B5955">
      <w:pPr>
        <w:spacing w:after="0"/>
        <w:ind w:left="450" w:hanging="450"/>
        <w:jc w:val="both"/>
      </w:pPr>
      <w:r>
        <w:t xml:space="preserve">Balan L, Paleti R (2018) Modified mixed generalized ordered response model to handle misclassification in injury severity data. Transp Res Rec 2672(30):53–63. </w:t>
      </w:r>
    </w:p>
    <w:p w14:paraId="00B4EF7C" w14:textId="0E6551AE" w:rsidR="007B5955" w:rsidRDefault="007B5955" w:rsidP="007B5955">
      <w:pPr>
        <w:spacing w:after="0"/>
        <w:ind w:left="450" w:hanging="450"/>
        <w:jc w:val="both"/>
      </w:pPr>
      <w:r>
        <w:t xml:space="preserve">Balusu SK, Pinjari AR, Mannering FL, Eluru N (2018) Non-decreasing threshold variances in mixed generalized ordered response models: A negative correlations approach to variance reduction. Anal Methods Accid Res 20(October):46–67. </w:t>
      </w:r>
    </w:p>
    <w:p w14:paraId="38540F16" w14:textId="5FFB25E6" w:rsidR="007B5955" w:rsidRDefault="007B5955" w:rsidP="007B5955">
      <w:pPr>
        <w:spacing w:after="0"/>
        <w:ind w:left="450" w:hanging="450"/>
        <w:jc w:val="both"/>
      </w:pPr>
      <w:r>
        <w:t xml:space="preserve">Bellizzi MG, Eboli L, Forciniti C, Mazzulla G (2018) Air Transport Passengers’ Satisfaction: An Ordered Logit Model. Transp Res Procedia 33:147–154. </w:t>
      </w:r>
    </w:p>
    <w:p w14:paraId="0BD38AD3" w14:textId="40E9D068" w:rsidR="007B5955" w:rsidRDefault="007B5955" w:rsidP="007B5955">
      <w:pPr>
        <w:spacing w:after="0"/>
        <w:ind w:left="450" w:hanging="450"/>
        <w:jc w:val="both"/>
      </w:pPr>
      <w:r>
        <w:t xml:space="preserve">Bhat CR (2001) Quasi-random maximum simulated likelihood estimation of the mixed multinomial logit model. Transp Res Part B Methodol 35(7):677–693. </w:t>
      </w:r>
    </w:p>
    <w:p w14:paraId="4D8178B3" w14:textId="64ECF62D" w:rsidR="007B5955" w:rsidRDefault="007B5955" w:rsidP="007B5955">
      <w:pPr>
        <w:spacing w:after="0"/>
        <w:ind w:left="450" w:hanging="450"/>
        <w:jc w:val="both"/>
      </w:pPr>
      <w:r>
        <w:t>Bhat CR, Eluru N, Copperman RB (2008) Flexible Model Structures for Discrete Choice Analysis. In: D.A. Henser, Button KJ (eds) Handbook of Transport Modelling, 2nd edn. Elsevier Science, pp 75–104</w:t>
      </w:r>
      <w:r w:rsidR="0090369E">
        <w:t>.</w:t>
      </w:r>
    </w:p>
    <w:p w14:paraId="7B003FC5" w14:textId="77777777" w:rsidR="007B5955" w:rsidRDefault="007B5955" w:rsidP="007B5955">
      <w:pPr>
        <w:spacing w:after="0"/>
        <w:ind w:left="450" w:hanging="450"/>
        <w:jc w:val="both"/>
      </w:pPr>
      <w:r>
        <w:t>Brida JG, Del Chiappa G, Meleddu M, Pulina M (2012) Cruise tourism externalities and residents’ support: A mixed approach. Economics 6. https://doi.org/10.5018/economics-ejournal.ja.2012-40</w:t>
      </w:r>
    </w:p>
    <w:p w14:paraId="539B531D" w14:textId="71AD18BA" w:rsidR="007B5955" w:rsidRDefault="007B5955" w:rsidP="007B5955">
      <w:pPr>
        <w:spacing w:after="0"/>
        <w:ind w:left="450" w:hanging="450"/>
        <w:jc w:val="both"/>
      </w:pPr>
      <w:r>
        <w:t xml:space="preserve">Castro M, Paleti R, Bhat CR (2013) A spatial generalized ordered response model to examine highway crash injury severity. Accid Anal Prev 52:188–203. </w:t>
      </w:r>
    </w:p>
    <w:p w14:paraId="08D064C4" w14:textId="189A857E" w:rsidR="007B5955" w:rsidRDefault="007B5955" w:rsidP="007B5955">
      <w:pPr>
        <w:spacing w:after="0"/>
        <w:ind w:left="450" w:hanging="450"/>
        <w:jc w:val="both"/>
      </w:pPr>
      <w:r>
        <w:t xml:space="preserve">Chang F, Haque MM, Yasmin S, Huang H (2022) Crash injury severity analysis of E-Bike Riders: A random parameters generalized ordered probit model with heterogeneity in means. Saf Sci 146(April 2021):105545. </w:t>
      </w:r>
    </w:p>
    <w:p w14:paraId="3DB675E4" w14:textId="7AFFF83B" w:rsidR="007B5955" w:rsidRDefault="007B5955" w:rsidP="007B5955">
      <w:pPr>
        <w:spacing w:after="0"/>
        <w:ind w:left="450" w:hanging="450"/>
        <w:jc w:val="both"/>
      </w:pPr>
      <w:r>
        <w:t xml:space="preserve">Chang LY (2014) Analysis of bilateral air passenger flows: A non-parametric multivariate adaptive regression spline approach. J Air Transp Manag 34:123–130. </w:t>
      </w:r>
    </w:p>
    <w:p w14:paraId="1BD578A2" w14:textId="48E2D7E2" w:rsidR="007B5955" w:rsidRDefault="007B5955" w:rsidP="007B5955">
      <w:pPr>
        <w:spacing w:after="0"/>
        <w:ind w:left="450" w:hanging="450"/>
        <w:jc w:val="both"/>
      </w:pPr>
      <w:r>
        <w:t xml:space="preserve">Chen P, Shen Q (2016) Built environment effects on cyclist injury severity in automobile-involved bicycle crashes. Accid Anal Prev 86:239–246. </w:t>
      </w:r>
    </w:p>
    <w:p w14:paraId="6781994B" w14:textId="4180DB08" w:rsidR="007B5955" w:rsidRDefault="007B5955" w:rsidP="007B5955">
      <w:pPr>
        <w:spacing w:after="0"/>
        <w:ind w:left="450" w:hanging="450"/>
        <w:jc w:val="both"/>
      </w:pPr>
      <w:r>
        <w:t xml:space="preserve">Chi J (2014) A cointegration analysis of bilateral air travel flows: The case of international travel to and from the United States. J Air Transp Manag 39:41–47. </w:t>
      </w:r>
    </w:p>
    <w:p w14:paraId="71E2C628" w14:textId="075FAB42" w:rsidR="007B5955" w:rsidRDefault="007B5955" w:rsidP="007B5955">
      <w:pPr>
        <w:spacing w:after="0"/>
        <w:ind w:left="450" w:hanging="450"/>
        <w:jc w:val="both"/>
      </w:pPr>
      <w:r>
        <w:t xml:space="preserve">Cyrenne P, Chan A (2022) The Determinants of Student Success in University: A Generalized Ordered Logit Approach. Can J High Educ 52(1):84–107. </w:t>
      </w:r>
    </w:p>
    <w:p w14:paraId="23D8ECA9" w14:textId="7C39C549" w:rsidR="007B5955" w:rsidRDefault="007B5955" w:rsidP="007B5955">
      <w:pPr>
        <w:spacing w:after="0"/>
        <w:ind w:left="450" w:hanging="450"/>
        <w:jc w:val="both"/>
      </w:pPr>
      <w:r>
        <w:t xml:space="preserve">Eluru N, Bhat CR, Hensher DA (2008) A mixed generalized ordered response model for examining pedestrian and bicyclist injury severity level in traffic crashes. Accid Anal Prev 40(3):1033–1054. </w:t>
      </w:r>
    </w:p>
    <w:p w14:paraId="53FBDA3F" w14:textId="4F527835" w:rsidR="007B5955" w:rsidRDefault="007B5955" w:rsidP="007B5955">
      <w:pPr>
        <w:spacing w:after="0"/>
        <w:ind w:left="450" w:hanging="450"/>
        <w:jc w:val="both"/>
      </w:pPr>
      <w:r>
        <w:t xml:space="preserve">Eluru N, Yasmin S (2015) A note on generalized ordered outcome models. Anal Methods Accid Res 8:1–6. </w:t>
      </w:r>
    </w:p>
    <w:p w14:paraId="7FF08E55" w14:textId="43884AF5" w:rsidR="007B5955" w:rsidRDefault="007B5955" w:rsidP="007B5955">
      <w:pPr>
        <w:spacing w:after="0"/>
        <w:ind w:left="450" w:hanging="450"/>
        <w:jc w:val="both"/>
      </w:pPr>
      <w:r>
        <w:t>FAA (2023) Air Traffic By The Numbers. https://www.faa.gov/air_traffic/by_the_numbers/. Accessed 02 Feb 2023</w:t>
      </w:r>
    </w:p>
    <w:p w14:paraId="4A913EDA" w14:textId="29DA584E" w:rsidR="007B5955" w:rsidRDefault="007B5955" w:rsidP="007B5955">
      <w:pPr>
        <w:spacing w:after="0"/>
        <w:ind w:left="450" w:hanging="450"/>
        <w:jc w:val="both"/>
      </w:pPr>
      <w:r>
        <w:t xml:space="preserve">Fountas G, Anastasopoulos PC, Mannering FL (2018) Analysis of vehicle accident-injury severities: A comparison of segment- versus accident-based latent class ordered probit models with class-probability functions. Anal Methods Accid Res 18:15–32. </w:t>
      </w:r>
    </w:p>
    <w:p w14:paraId="4125014B" w14:textId="387A7404" w:rsidR="007B5955" w:rsidRDefault="007B5955" w:rsidP="007B5955">
      <w:pPr>
        <w:spacing w:after="0"/>
        <w:ind w:left="450" w:hanging="450"/>
        <w:jc w:val="both"/>
      </w:pPr>
      <w:r>
        <w:t xml:space="preserve">Guagnano G, Santarelli E, Santini I (2016) Can Social Capital Affect Subjective Poverty in Europe? An Empirical Analysis Based on a Generalized Ordered Logit Model. Soc Indic Res 128(2):881–907. </w:t>
      </w:r>
    </w:p>
    <w:p w14:paraId="43AF7AC1" w14:textId="4CC18276" w:rsidR="007B5955" w:rsidRDefault="007B5955" w:rsidP="007B5955">
      <w:pPr>
        <w:spacing w:after="0"/>
        <w:ind w:left="450" w:hanging="450"/>
        <w:jc w:val="both"/>
      </w:pPr>
      <w:r>
        <w:t xml:space="preserve">Islam Z, Alauddin M, Sarker MAR (2017) Determinants and implications of crop production loss: An empirical exploration using ordered probit analysis. Land use policy 67(May):527–536. </w:t>
      </w:r>
    </w:p>
    <w:p w14:paraId="3E051628" w14:textId="77777777" w:rsidR="007B5955" w:rsidRDefault="007B5955" w:rsidP="007B5955">
      <w:pPr>
        <w:spacing w:after="0"/>
        <w:ind w:left="450" w:hanging="450"/>
        <w:jc w:val="both"/>
      </w:pPr>
      <w:r>
        <w:t>Kağan Albayrak MB, Özcan İÇ, Can R, Dobruszkes F (2020) The determinants of air passenger traffic at Turkish airports. J Air Transp Manag 86(February). https://doi.org/10.1016/j.jairtraman.2020.101818</w:t>
      </w:r>
    </w:p>
    <w:p w14:paraId="642FC06A" w14:textId="36B6CDDF" w:rsidR="007B5955" w:rsidRDefault="007B5955" w:rsidP="007B5955">
      <w:pPr>
        <w:spacing w:after="0"/>
        <w:ind w:left="450" w:hanging="450"/>
        <w:jc w:val="both"/>
      </w:pPr>
      <w:r>
        <w:t xml:space="preserve">Kalić M, Kuljanin J, Dožić S (2014) Air travel demand fuzzy modelling: Trip generation and trip distribution. Adv Intell Syst Comput 223:279–289. </w:t>
      </w:r>
    </w:p>
    <w:p w14:paraId="16F59214" w14:textId="1E04B829" w:rsidR="007B5955" w:rsidRDefault="007B5955" w:rsidP="007B5955">
      <w:pPr>
        <w:spacing w:after="0"/>
        <w:ind w:left="450" w:hanging="450"/>
        <w:jc w:val="both"/>
      </w:pPr>
      <w:r>
        <w:t xml:space="preserve">Kaplan S, Prato CG (2012) Risk factors associated with bus accident severity in the United States: A generalized ordered logit model. J Safety Res 43(3):171–180. </w:t>
      </w:r>
    </w:p>
    <w:p w14:paraId="65F1CE7F" w14:textId="3619AFB2" w:rsidR="007B5955" w:rsidRDefault="007B5955" w:rsidP="007B5955">
      <w:pPr>
        <w:spacing w:after="0"/>
        <w:ind w:left="450" w:hanging="450"/>
        <w:jc w:val="both"/>
      </w:pPr>
      <w:r>
        <w:t xml:space="preserve">Khedhiri S, Stambouli N, Ouerhani S, Rouissi K, Marrakchi R, Gaaied AB, Slama MB (2010) The impact of smoking and polymorphic enzymes of xenobiotic metabolism on the stage of bladder tumors: A generalized ordered logistic regression analysis. J Cancer Res Clin Oncol 136(7):1111–1116. </w:t>
      </w:r>
    </w:p>
    <w:p w14:paraId="088BD80C" w14:textId="12761F5A" w:rsidR="007B5955" w:rsidRDefault="007B5955" w:rsidP="007B5955">
      <w:pPr>
        <w:spacing w:after="0"/>
        <w:ind w:left="450" w:hanging="450"/>
        <w:jc w:val="both"/>
      </w:pPr>
      <w:r>
        <w:t xml:space="preserve">Li T, Wan Y (2019) Estimating the geographic distribution of originating air travel demand using a bi-level optimization model. Transp Res Part E Logist Transp Rev 131(October):267–291. </w:t>
      </w:r>
    </w:p>
    <w:p w14:paraId="77EC0C23" w14:textId="589D7172" w:rsidR="007B5955" w:rsidRDefault="007B5955" w:rsidP="007B5955">
      <w:pPr>
        <w:spacing w:after="0"/>
        <w:ind w:left="450" w:hanging="450"/>
        <w:jc w:val="both"/>
      </w:pPr>
      <w:r>
        <w:t xml:space="preserve">LIN B xi, ZHANG YY (2020) Impact of the COVID-19 pandemic on agricultural exports. J Integr Agric 19(12):2937–2945. </w:t>
      </w:r>
    </w:p>
    <w:p w14:paraId="359A9B5E" w14:textId="2B1613A2" w:rsidR="007B5955" w:rsidRDefault="007B5955" w:rsidP="007B5955">
      <w:pPr>
        <w:spacing w:after="0"/>
        <w:ind w:left="450" w:hanging="450"/>
        <w:jc w:val="both"/>
      </w:pPr>
      <w:r>
        <w:t xml:space="preserve">Marcoux R, Yasmin S, Eluru N, Rahman M (2018) Evaluating temporal variability of exogenous variable impacts over 25 years: An application of scaled generalized ordered logit model for driver injury severity. Anal Methods Accid Res 20(September):15–29. </w:t>
      </w:r>
    </w:p>
    <w:p w14:paraId="07473A58" w14:textId="08FBF2F0" w:rsidR="007B5955" w:rsidRDefault="007B5955" w:rsidP="007B5955">
      <w:pPr>
        <w:spacing w:after="0"/>
        <w:ind w:left="450" w:hanging="450"/>
        <w:jc w:val="both"/>
      </w:pPr>
      <w:r>
        <w:t xml:space="preserve">McHugh MD, Lake ET (2010) Understanding clinical expertise: nurse education, experience, and the hospital context. Res Nurs Health 33(4):276–287. </w:t>
      </w:r>
    </w:p>
    <w:p w14:paraId="52960999" w14:textId="44A3A6CC" w:rsidR="007B5955" w:rsidRDefault="007B5955" w:rsidP="007B5955">
      <w:pPr>
        <w:spacing w:after="0"/>
        <w:ind w:left="450" w:hanging="450"/>
        <w:jc w:val="both"/>
      </w:pPr>
      <w:r>
        <w:t xml:space="preserve">Michalaki P, Quddus MA, Pitfield D, Huetson A (2015) Exploring the factors affecting motorway accident severity in England using the generalised ordered logistic regression model. J Safety Res 55:89–97. </w:t>
      </w:r>
    </w:p>
    <w:p w14:paraId="60FB254C" w14:textId="5542B022" w:rsidR="007B5955" w:rsidRDefault="007B5955" w:rsidP="007B5955">
      <w:pPr>
        <w:spacing w:after="0"/>
        <w:ind w:left="450" w:hanging="450"/>
        <w:jc w:val="both"/>
      </w:pPr>
      <w:r>
        <w:t xml:space="preserve">Millán JM, Hessels J, Thurik R, Aguado R (2013) Determinants of job satisfaction: A European comparison of self-employed and paid employees. Small Bus Econ 40(3):651–670. </w:t>
      </w:r>
    </w:p>
    <w:p w14:paraId="1DD2B1F9" w14:textId="7A6BE1E3" w:rsidR="007B5955" w:rsidRDefault="007B5955" w:rsidP="007B5955">
      <w:pPr>
        <w:spacing w:after="0"/>
        <w:ind w:left="450" w:hanging="450"/>
        <w:jc w:val="both"/>
      </w:pPr>
      <w:r>
        <w:t xml:space="preserve">Mostafaeipour A, Goli A, Qolipour M (2018) Prediction of air travel demand using a hybrid artificial neural network (ANN) with Bat and Firefly algorithms: a case study. J Supercomput 74(10):5461–5484. </w:t>
      </w:r>
    </w:p>
    <w:p w14:paraId="37025D5F" w14:textId="77777777" w:rsidR="007B5955" w:rsidRDefault="007B5955" w:rsidP="007B5955">
      <w:pPr>
        <w:spacing w:after="0"/>
        <w:ind w:left="450" w:hanging="450"/>
        <w:jc w:val="both"/>
      </w:pPr>
      <w:r>
        <w:t>Peterson B, Harrell FEJ (1990) Partial Proportional Odds Models for Ordinal Response Variables Author ( s ): Bercedis Peterson , Frank E . Harrell and Jr Published by : Wiley for the Royal Statistical Society Stable URL : https://www.jstor.org/stable/2347760 Partial Proportional Odds M. Wiley R Stat Soc 39(2):205–217</w:t>
      </w:r>
    </w:p>
    <w:p w14:paraId="70C4DD06" w14:textId="17C5C3FE" w:rsidR="007B5955" w:rsidRDefault="007B5955" w:rsidP="007B5955">
      <w:pPr>
        <w:spacing w:after="0"/>
        <w:ind w:left="450" w:hanging="450"/>
        <w:jc w:val="both"/>
      </w:pPr>
      <w:r>
        <w:t xml:space="preserve">Rahman M, Yasmin S, Eluru N (2019) Evaluating the impact of a newly added commuter rail system on bus ridership: a grouped ordered logit model approach. Transp A Transp Sci 15(2):1081–1101. </w:t>
      </w:r>
    </w:p>
    <w:p w14:paraId="4B603560" w14:textId="18FCAAF0" w:rsidR="007B5955" w:rsidRDefault="007B5955" w:rsidP="007B5955">
      <w:pPr>
        <w:spacing w:after="0"/>
        <w:ind w:left="450" w:hanging="450"/>
        <w:jc w:val="both"/>
      </w:pPr>
      <w:r>
        <w:t xml:space="preserve">Srinivasan KK (2002) Injury severity analysis with variable and correlated thresholds: Ordered mixed logit formulation. Transp Res Rec (1784):132–142. </w:t>
      </w:r>
    </w:p>
    <w:p w14:paraId="44EC8A01" w14:textId="30366D7D" w:rsidR="007B5955" w:rsidRDefault="007B5955" w:rsidP="007B5955">
      <w:pPr>
        <w:spacing w:after="0"/>
        <w:ind w:left="450" w:hanging="450"/>
        <w:jc w:val="both"/>
      </w:pPr>
      <w:r>
        <w:t xml:space="preserve">Suryani E, Chou SY, Chen CH (2010) Air passenger demand forecasting and passenger terminal capacity expansion: A system dynamics framework. Expert Syst Appl 37(3):2324–2339. </w:t>
      </w:r>
    </w:p>
    <w:p w14:paraId="235D325E" w14:textId="7BB8B448" w:rsidR="00E03665" w:rsidRDefault="00E03665" w:rsidP="007B5955">
      <w:pPr>
        <w:spacing w:after="0"/>
        <w:ind w:left="450" w:hanging="450"/>
        <w:jc w:val="both"/>
      </w:pPr>
      <w:r w:rsidRPr="00E03665">
        <w:t>Terza JV (1985) Ordinal probit: a generalization. Communications in Statistics-Theory and Methods 14(1): 1–11.</w:t>
      </w:r>
    </w:p>
    <w:p w14:paraId="417711F1" w14:textId="33132602" w:rsidR="007B5955" w:rsidRDefault="007B5955" w:rsidP="007B5955">
      <w:pPr>
        <w:spacing w:after="0"/>
        <w:ind w:left="450" w:hanging="450"/>
        <w:jc w:val="both"/>
      </w:pPr>
      <w:r>
        <w:t xml:space="preserve">Tirtha SD, Bhowmik T, Eluru N (2022) An airport level framework for examining the impact of COVID-19 on airline demand. Transp Res Part A Policy Pract 159(March):169–181. </w:t>
      </w:r>
    </w:p>
    <w:p w14:paraId="0FF832A1" w14:textId="00A5ED27" w:rsidR="007B5955" w:rsidRDefault="007B5955" w:rsidP="007B5955">
      <w:pPr>
        <w:spacing w:after="0"/>
        <w:ind w:left="450" w:hanging="450"/>
        <w:jc w:val="both"/>
      </w:pPr>
      <w:r>
        <w:t xml:space="preserve">Tirtha SD, Bhowmik T, Eluru N (2023) Understanding the factors affecting airport level demand (arrivals and departures) using a novel modeling approach. J Air Transp Manag 106(September 2022):102320. </w:t>
      </w:r>
    </w:p>
    <w:p w14:paraId="3FBB096E" w14:textId="78879D26" w:rsidR="007B5955" w:rsidRDefault="007B5955" w:rsidP="007B5955">
      <w:pPr>
        <w:spacing w:after="0"/>
        <w:ind w:left="450" w:hanging="450"/>
        <w:jc w:val="both"/>
      </w:pPr>
      <w:r>
        <w:t xml:space="preserve">Tsui WHK, Ozer Balli H, Gilbey A, Gow H (2014) Forecasting of Hong Kong airport’s passenger throughput. Tour Manag 42(2014):62–76. </w:t>
      </w:r>
    </w:p>
    <w:p w14:paraId="05658A9F" w14:textId="05A4AC8D" w:rsidR="007B5955" w:rsidRDefault="007B5955" w:rsidP="007B5955">
      <w:pPr>
        <w:spacing w:after="0"/>
        <w:ind w:left="450" w:hanging="450"/>
        <w:jc w:val="both"/>
      </w:pPr>
      <w:r>
        <w:t xml:space="preserve">Valdes V (2015) Determinants of air travel demand in Middle Income Countries. J Air Transp Manag 42:75–84. </w:t>
      </w:r>
    </w:p>
    <w:p w14:paraId="23839815" w14:textId="197C51E6" w:rsidR="007B5955" w:rsidRDefault="007B5955" w:rsidP="007B5955">
      <w:pPr>
        <w:spacing w:after="0"/>
        <w:ind w:left="450" w:hanging="450"/>
        <w:jc w:val="both"/>
      </w:pPr>
      <w:r>
        <w:t xml:space="preserve">Wang T, Chen J, Wang C, Ye X (2018) Understand e-bicyclist safety in China: Crash severity modeling using a generalized ordered logit model. Adv Mech Eng 10(6):1–11. </w:t>
      </w:r>
    </w:p>
    <w:p w14:paraId="0A6E1874" w14:textId="515EB2A1" w:rsidR="007B5955" w:rsidRDefault="007B5955" w:rsidP="007B5955">
      <w:pPr>
        <w:spacing w:after="0"/>
        <w:ind w:left="450" w:hanging="450"/>
        <w:jc w:val="both"/>
      </w:pPr>
      <w:r>
        <w:t xml:space="preserve">Yasmin S, Anowar S, Tay R (2012) Effects of drivers’ actions on severity of emergency vehicle collisions. Transp Res Rec 1(2318):90–97. </w:t>
      </w:r>
    </w:p>
    <w:p w14:paraId="3CACBDCF" w14:textId="38F7AEAB" w:rsidR="007B5955" w:rsidRDefault="007B5955" w:rsidP="007B5955">
      <w:pPr>
        <w:spacing w:after="0"/>
        <w:ind w:left="450" w:hanging="450"/>
        <w:jc w:val="both"/>
      </w:pPr>
      <w:r>
        <w:t xml:space="preserve">Yasmin S, Eluru N (2013) Evaluating alternate discrete outcome frameworks for modeling crash injury severity. Accid Anal Prev 59:506–521. </w:t>
      </w:r>
    </w:p>
    <w:p w14:paraId="49FA735C" w14:textId="10F4AA58" w:rsidR="007B5955" w:rsidRDefault="007B5955" w:rsidP="007B5955">
      <w:pPr>
        <w:spacing w:after="0"/>
        <w:ind w:left="450" w:hanging="450"/>
        <w:jc w:val="both"/>
      </w:pPr>
      <w:r>
        <w:t xml:space="preserve">Yasmin S, Eluru N, Bhat CR, Tay R (2014) A latent segmentation based generalized ordered logit model to examine factors influencing driver injury severity. Anal Methods Accid Res 1:23–38. </w:t>
      </w:r>
    </w:p>
    <w:p w14:paraId="28285D00" w14:textId="1537ABBE" w:rsidR="007B5955" w:rsidRDefault="007B5955" w:rsidP="007B5955">
      <w:pPr>
        <w:spacing w:after="0"/>
        <w:ind w:left="450" w:hanging="450"/>
        <w:jc w:val="both"/>
      </w:pPr>
      <w:r>
        <w:t xml:space="preserve">Yasmin S, Eluru N, Pinjari AR (2015) Analyzing the continuum of fatal crashes: A generalized ordered approach. Anal Methods Accid Res 7:1–15. </w:t>
      </w:r>
    </w:p>
    <w:p w14:paraId="2F8494E7" w14:textId="77777777" w:rsidR="007B5955" w:rsidRDefault="007B5955" w:rsidP="007B5955">
      <w:pPr>
        <w:spacing w:after="0"/>
        <w:ind w:left="450" w:hanging="450"/>
        <w:jc w:val="both"/>
      </w:pPr>
      <w:r>
        <w:t>Zaurin R, Tirtha SD, Eluru N (2020a) A comparative analysis of the students’ performance in two statics courses due to the inclusion of an Adaptive Learning Module (ALM) to review the mathematics pre-requisite knowledge. ASEE Annu Conf Expo Conf Proc 2020-June. https://doi.org/10.18260/1-2--33982</w:t>
      </w:r>
    </w:p>
    <w:p w14:paraId="0C513BD6" w14:textId="77777777" w:rsidR="007B5955" w:rsidRDefault="007B5955" w:rsidP="007B5955">
      <w:pPr>
        <w:spacing w:after="0"/>
        <w:ind w:left="450" w:hanging="450"/>
        <w:jc w:val="both"/>
      </w:pPr>
      <w:r>
        <w:t>Zaurin R, Tirtha SD, Eluru N (2020b) A comparison between mixed-mode and face-to-face instructional delivery approaches for engineering analysis: Statics. ASEE Annu Conf Expo Conf Proc 2020-June. https://doi.org/10.18260/1-2--33985</w:t>
      </w:r>
    </w:p>
    <w:p w14:paraId="23713305" w14:textId="13C44D3A" w:rsidR="007B5955" w:rsidRDefault="007B5955" w:rsidP="007B5955">
      <w:pPr>
        <w:spacing w:after="0"/>
        <w:ind w:left="450" w:hanging="450"/>
        <w:jc w:val="both"/>
      </w:pPr>
      <w:r>
        <w:t xml:space="preserve">Zhou H, Xia J (Cecilia), Luo Q, Nikolova G, Sun J, Hughes B, Kelobonye K, Wang H, Falkmer T (2018) Investigating the impact of catchment areas of airports on estimating air travel demand: A case study of regional Western Australia. J Air Transp Manag 70(May):91–103. </w:t>
      </w:r>
    </w:p>
    <w:p w14:paraId="672BF45F" w14:textId="32135576" w:rsidR="002126A5" w:rsidRDefault="002126A5" w:rsidP="002126A5">
      <w:pPr>
        <w:spacing w:after="0"/>
        <w:jc w:val="both"/>
      </w:pPr>
    </w:p>
    <w:p w14:paraId="7AD8461C" w14:textId="05CDA44B" w:rsidR="00F13A03" w:rsidRPr="007D6AA8" w:rsidRDefault="00F13A03" w:rsidP="00750E32">
      <w:pPr>
        <w:spacing w:after="0"/>
        <w:jc w:val="both"/>
      </w:pPr>
    </w:p>
    <w:sectPr w:rsidR="00F13A03" w:rsidRPr="007D6AA8" w:rsidSect="00367D5A">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2BAC8" w14:textId="77777777" w:rsidR="00B7581C" w:rsidRDefault="00B7581C" w:rsidP="00004C62">
      <w:pPr>
        <w:spacing w:after="0"/>
      </w:pPr>
      <w:r>
        <w:separator/>
      </w:r>
    </w:p>
  </w:endnote>
  <w:endnote w:type="continuationSeparator" w:id="0">
    <w:p w14:paraId="1873F7C9" w14:textId="77777777" w:rsidR="00B7581C" w:rsidRDefault="00B7581C" w:rsidP="00004C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834027"/>
      <w:docPartObj>
        <w:docPartGallery w:val="Page Numbers (Bottom of Page)"/>
        <w:docPartUnique/>
      </w:docPartObj>
    </w:sdtPr>
    <w:sdtEndPr>
      <w:rPr>
        <w:noProof/>
      </w:rPr>
    </w:sdtEndPr>
    <w:sdtContent>
      <w:p w14:paraId="0EA72549" w14:textId="6974D2FB" w:rsidR="00367D5A" w:rsidRDefault="00367D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4C762C" w14:textId="77777777" w:rsidR="00367D5A" w:rsidRDefault="00367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BC25E" w14:textId="77777777" w:rsidR="00B7581C" w:rsidRDefault="00B7581C" w:rsidP="00004C62">
      <w:pPr>
        <w:spacing w:after="0"/>
      </w:pPr>
      <w:r>
        <w:separator/>
      </w:r>
    </w:p>
  </w:footnote>
  <w:footnote w:type="continuationSeparator" w:id="0">
    <w:p w14:paraId="62550A22" w14:textId="77777777" w:rsidR="00B7581C" w:rsidRDefault="00B7581C" w:rsidP="00004C62">
      <w:pPr>
        <w:spacing w:after="0"/>
      </w:pPr>
      <w:r>
        <w:continuationSeparator/>
      </w:r>
    </w:p>
  </w:footnote>
  <w:footnote w:id="1">
    <w:p w14:paraId="3F920492" w14:textId="6074C654" w:rsidR="00B2038C" w:rsidRDefault="00B2038C">
      <w:pPr>
        <w:pStyle w:val="FootnoteText"/>
      </w:pPr>
      <w:r>
        <w:rPr>
          <w:rStyle w:val="FootnoteReference"/>
        </w:rPr>
        <w:footnoteRef/>
      </w:r>
      <w:r>
        <w:t xml:space="preserve"> Corresponding Author</w:t>
      </w:r>
    </w:p>
  </w:footnote>
  <w:footnote w:id="2">
    <w:p w14:paraId="1808885F" w14:textId="7FC97A6F" w:rsidR="00F16370" w:rsidRDefault="00F16370">
      <w:pPr>
        <w:pStyle w:val="FootnoteText"/>
      </w:pPr>
      <w:r>
        <w:rPr>
          <w:rStyle w:val="FootnoteReference"/>
        </w:rPr>
        <w:footnoteRef/>
      </w:r>
      <w:r>
        <w:t xml:space="preserve"> </w:t>
      </w:r>
      <w:r w:rsidRPr="00F16370">
        <w:t>As the dataset represents 10% tickets of domestic flights operated in the US, we appropriately scale the aggregated numbers.</w:t>
      </w:r>
    </w:p>
  </w:footnote>
  <w:footnote w:id="3">
    <w:p w14:paraId="283218A6" w14:textId="4F487194" w:rsidR="00425CE6" w:rsidRDefault="00425CE6" w:rsidP="00D602EC">
      <w:pPr>
        <w:pStyle w:val="FootnoteText"/>
        <w:jc w:val="both"/>
      </w:pPr>
      <w:r>
        <w:rPr>
          <w:rStyle w:val="FootnoteReference"/>
        </w:rPr>
        <w:footnoteRef/>
      </w:r>
      <w:r>
        <w:t xml:space="preserve"> T</w:t>
      </w:r>
      <w:r w:rsidR="00756CD4">
        <w:t>he dependent variable was characterized as a ranking among airports</w:t>
      </w:r>
      <w:r w:rsidR="00C26B93">
        <w:t xml:space="preserve"> – the 300 airports were ranked into 6 equal bins of 50 airports each</w:t>
      </w:r>
      <w:r w:rsidR="00756CD4">
        <w:t xml:space="preserve">. The policy exercise is conducted </w:t>
      </w:r>
      <w:r w:rsidR="00E14B17">
        <w:t>examining how each airport probability of belonging to a particular group changes with</w:t>
      </w:r>
      <w:r w:rsidR="00FE6152">
        <w:t xml:space="preserve"> changes to </w:t>
      </w:r>
      <w:r w:rsidR="00E14B17">
        <w:t xml:space="preserve">different variables. </w:t>
      </w:r>
      <w:r w:rsidR="00FE6152">
        <w:t>I</w:t>
      </w:r>
      <w:r w:rsidR="00E14B17">
        <w:t>n</w:t>
      </w:r>
      <w:r w:rsidR="00FE6152">
        <w:t xml:space="preserve"> this process, we recognize that we are examining changes assuming a static cut-off demand based on </w:t>
      </w:r>
      <w:r w:rsidR="00E90D09">
        <w:t xml:space="preserve">initial ranking for the </w:t>
      </w:r>
      <w:r w:rsidR="00FE6152">
        <w:t xml:space="preserve">original set of independent variables. </w:t>
      </w:r>
      <w:r w:rsidR="00E90D09">
        <w:t>In our policy exercise, w</w:t>
      </w:r>
      <w:r w:rsidR="00FE6152">
        <w:t>e are no</w:t>
      </w:r>
      <w:r w:rsidR="00E90D09">
        <w:t>t</w:t>
      </w:r>
      <w:r w:rsidR="00FE6152">
        <w:t xml:space="preserve"> ranking them</w:t>
      </w:r>
      <w:r w:rsidR="00ED7922">
        <w:t xml:space="preserve"> anymore. We are </w:t>
      </w:r>
      <w:r w:rsidR="00FE6152">
        <w:t xml:space="preserve">examining if the airport demand </w:t>
      </w:r>
      <w:r w:rsidR="00BF2769">
        <w:t>can cross the corresponding ranking threshold employed during dependent variable creation. So, after employing the model with new</w:t>
      </w:r>
      <w:r w:rsidR="00ED7922">
        <w:t xml:space="preserve"> policy</w:t>
      </w:r>
      <w:r w:rsidR="00BF2769">
        <w:t xml:space="preserve"> variables it is possible that all 6 categories of dependent variables will </w:t>
      </w:r>
      <w:r w:rsidR="00ED7922">
        <w:t xml:space="preserve">not </w:t>
      </w:r>
      <w:r w:rsidR="00BF2769">
        <w:t xml:space="preserve">have </w:t>
      </w:r>
      <w:r w:rsidR="00C26B93">
        <w:t xml:space="preserve">equal numbers (as </w:t>
      </w:r>
      <w:r w:rsidR="00ED7922">
        <w:t>was</w:t>
      </w:r>
      <w:r w:rsidR="00C26B93">
        <w:t xml:space="preserve"> the case in the model estimation)</w:t>
      </w:r>
      <w:r w:rsidR="00BF2769">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B0D2D"/>
    <w:multiLevelType w:val="hybridMultilevel"/>
    <w:tmpl w:val="113226EA"/>
    <w:lvl w:ilvl="0" w:tplc="74DA4E4A">
      <w:start w:val="1"/>
      <w:numFmt w:val="decimal"/>
      <w:lvlText w:val="%1."/>
      <w:lvlJc w:val="left"/>
      <w:pPr>
        <w:ind w:left="720" w:hanging="360"/>
      </w:pPr>
      <w:rPr>
        <w:rFonts w:ascii="Times New Roman" w:hAnsi="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422D3B"/>
    <w:multiLevelType w:val="hybridMultilevel"/>
    <w:tmpl w:val="B8E26EEE"/>
    <w:lvl w:ilvl="0" w:tplc="A5D8D032">
      <w:start w:val="1"/>
      <w:numFmt w:val="decimal"/>
      <w:lvlText w:val="%1."/>
      <w:lvlJc w:val="left"/>
      <w:pPr>
        <w:ind w:left="720" w:hanging="360"/>
      </w:pPr>
      <w:rPr>
        <w:rFonts w:ascii="Times New Roman" w:hAnsi="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A53B7E"/>
    <w:multiLevelType w:val="multilevel"/>
    <w:tmpl w:val="1D4C6A1C"/>
    <w:lvl w:ilvl="0">
      <w:start w:val="1"/>
      <w:numFmt w:val="decimal"/>
      <w:pStyle w:val="Heading1"/>
      <w:lvlText w:val="%1"/>
      <w:lvlJc w:val="left"/>
      <w:pPr>
        <w:ind w:left="432" w:hanging="432"/>
      </w:pPr>
      <w:rPr>
        <w:rFonts w:hint="default"/>
        <w:b/>
        <w:i w:val="0"/>
        <w:sz w:val="24"/>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62468075">
    <w:abstractNumId w:val="1"/>
  </w:num>
  <w:num w:numId="2" w16cid:durableId="231474546">
    <w:abstractNumId w:val="0"/>
  </w:num>
  <w:num w:numId="3" w16cid:durableId="1802191221">
    <w:abstractNumId w:val="2"/>
  </w:num>
  <w:num w:numId="4" w16cid:durableId="903107079">
    <w:abstractNumId w:val="2"/>
  </w:num>
  <w:num w:numId="5" w16cid:durableId="9679707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xNTQwtDQyMDYxNzBV0lEKTi0uzszPAykwMq4FAHYy6ogtAAAA"/>
  </w:docVars>
  <w:rsids>
    <w:rsidRoot w:val="00C66E69"/>
    <w:rsid w:val="00000131"/>
    <w:rsid w:val="00000C73"/>
    <w:rsid w:val="0000210C"/>
    <w:rsid w:val="00004C62"/>
    <w:rsid w:val="00005C01"/>
    <w:rsid w:val="00006FCF"/>
    <w:rsid w:val="00013F73"/>
    <w:rsid w:val="0001690D"/>
    <w:rsid w:val="0002032F"/>
    <w:rsid w:val="000204A8"/>
    <w:rsid w:val="00020615"/>
    <w:rsid w:val="00020952"/>
    <w:rsid w:val="00020DF8"/>
    <w:rsid w:val="000226D2"/>
    <w:rsid w:val="00022D04"/>
    <w:rsid w:val="0002461A"/>
    <w:rsid w:val="0002517E"/>
    <w:rsid w:val="00025A5A"/>
    <w:rsid w:val="00026818"/>
    <w:rsid w:val="0002693A"/>
    <w:rsid w:val="00027E0F"/>
    <w:rsid w:val="00045410"/>
    <w:rsid w:val="0004626D"/>
    <w:rsid w:val="00062590"/>
    <w:rsid w:val="000651EA"/>
    <w:rsid w:val="00070323"/>
    <w:rsid w:val="00070D56"/>
    <w:rsid w:val="000725D1"/>
    <w:rsid w:val="000738A7"/>
    <w:rsid w:val="000805A4"/>
    <w:rsid w:val="00080E92"/>
    <w:rsid w:val="00091B83"/>
    <w:rsid w:val="000926CA"/>
    <w:rsid w:val="000A3E5E"/>
    <w:rsid w:val="000B08D8"/>
    <w:rsid w:val="000B4138"/>
    <w:rsid w:val="000B70D7"/>
    <w:rsid w:val="000B7A1F"/>
    <w:rsid w:val="000C226F"/>
    <w:rsid w:val="000C2874"/>
    <w:rsid w:val="000C446D"/>
    <w:rsid w:val="000C64DF"/>
    <w:rsid w:val="000C6A5C"/>
    <w:rsid w:val="000C77B8"/>
    <w:rsid w:val="000C784D"/>
    <w:rsid w:val="000D3980"/>
    <w:rsid w:val="000D5793"/>
    <w:rsid w:val="000D650F"/>
    <w:rsid w:val="000D6556"/>
    <w:rsid w:val="000D74CE"/>
    <w:rsid w:val="000E1196"/>
    <w:rsid w:val="000E1CC0"/>
    <w:rsid w:val="000E2842"/>
    <w:rsid w:val="000E7A7E"/>
    <w:rsid w:val="000F1AAC"/>
    <w:rsid w:val="000F6A44"/>
    <w:rsid w:val="00102865"/>
    <w:rsid w:val="001032BB"/>
    <w:rsid w:val="00104EFE"/>
    <w:rsid w:val="00104FE5"/>
    <w:rsid w:val="001058EC"/>
    <w:rsid w:val="0011610F"/>
    <w:rsid w:val="00120EAF"/>
    <w:rsid w:val="00121226"/>
    <w:rsid w:val="00121485"/>
    <w:rsid w:val="001217E4"/>
    <w:rsid w:val="001302D3"/>
    <w:rsid w:val="00131130"/>
    <w:rsid w:val="00131F93"/>
    <w:rsid w:val="00143C70"/>
    <w:rsid w:val="00146594"/>
    <w:rsid w:val="001478AE"/>
    <w:rsid w:val="00157BBD"/>
    <w:rsid w:val="00160C26"/>
    <w:rsid w:val="001613D2"/>
    <w:rsid w:val="0016331A"/>
    <w:rsid w:val="00171EA1"/>
    <w:rsid w:val="00190F1C"/>
    <w:rsid w:val="00197C44"/>
    <w:rsid w:val="001A06A8"/>
    <w:rsid w:val="001A1091"/>
    <w:rsid w:val="001A2C08"/>
    <w:rsid w:val="001A2C20"/>
    <w:rsid w:val="001B0B65"/>
    <w:rsid w:val="001B2445"/>
    <w:rsid w:val="001B4C45"/>
    <w:rsid w:val="001B5FFE"/>
    <w:rsid w:val="001B7657"/>
    <w:rsid w:val="001C0B89"/>
    <w:rsid w:val="001C5B18"/>
    <w:rsid w:val="001C5B3F"/>
    <w:rsid w:val="001D5969"/>
    <w:rsid w:val="001E0CE7"/>
    <w:rsid w:val="001E0E78"/>
    <w:rsid w:val="001E1AE0"/>
    <w:rsid w:val="001E3BAE"/>
    <w:rsid w:val="001E6C61"/>
    <w:rsid w:val="001F0401"/>
    <w:rsid w:val="001F239D"/>
    <w:rsid w:val="001F25CA"/>
    <w:rsid w:val="001F72C0"/>
    <w:rsid w:val="001F7BF5"/>
    <w:rsid w:val="00200808"/>
    <w:rsid w:val="0020132F"/>
    <w:rsid w:val="0020577E"/>
    <w:rsid w:val="00206B09"/>
    <w:rsid w:val="002126A5"/>
    <w:rsid w:val="0021576B"/>
    <w:rsid w:val="002212F4"/>
    <w:rsid w:val="002228DC"/>
    <w:rsid w:val="00223B52"/>
    <w:rsid w:val="00226604"/>
    <w:rsid w:val="0022703E"/>
    <w:rsid w:val="002302DE"/>
    <w:rsid w:val="002410BF"/>
    <w:rsid w:val="00242178"/>
    <w:rsid w:val="00243D4D"/>
    <w:rsid w:val="0025199C"/>
    <w:rsid w:val="00252519"/>
    <w:rsid w:val="002551D8"/>
    <w:rsid w:val="00256F69"/>
    <w:rsid w:val="0027030C"/>
    <w:rsid w:val="002736F9"/>
    <w:rsid w:val="00274F30"/>
    <w:rsid w:val="0027652B"/>
    <w:rsid w:val="002768C8"/>
    <w:rsid w:val="00280314"/>
    <w:rsid w:val="00281456"/>
    <w:rsid w:val="00281473"/>
    <w:rsid w:val="00293C05"/>
    <w:rsid w:val="002A687F"/>
    <w:rsid w:val="002B1D63"/>
    <w:rsid w:val="002B20DD"/>
    <w:rsid w:val="002B27EA"/>
    <w:rsid w:val="002B50C5"/>
    <w:rsid w:val="002B699F"/>
    <w:rsid w:val="002B6A42"/>
    <w:rsid w:val="002C24A8"/>
    <w:rsid w:val="002E2586"/>
    <w:rsid w:val="002E35F3"/>
    <w:rsid w:val="002E43C7"/>
    <w:rsid w:val="002E677B"/>
    <w:rsid w:val="002E717C"/>
    <w:rsid w:val="002F3923"/>
    <w:rsid w:val="002F5BE3"/>
    <w:rsid w:val="0030016D"/>
    <w:rsid w:val="0030183D"/>
    <w:rsid w:val="003039A2"/>
    <w:rsid w:val="0030490F"/>
    <w:rsid w:val="00304B08"/>
    <w:rsid w:val="00304C0E"/>
    <w:rsid w:val="00304C51"/>
    <w:rsid w:val="00305FE5"/>
    <w:rsid w:val="00313E68"/>
    <w:rsid w:val="003148FA"/>
    <w:rsid w:val="00317DF1"/>
    <w:rsid w:val="00317E0F"/>
    <w:rsid w:val="00320B02"/>
    <w:rsid w:val="00322ECF"/>
    <w:rsid w:val="00325AAC"/>
    <w:rsid w:val="00330069"/>
    <w:rsid w:val="003414FF"/>
    <w:rsid w:val="0035310E"/>
    <w:rsid w:val="00353A62"/>
    <w:rsid w:val="00353F26"/>
    <w:rsid w:val="0035610E"/>
    <w:rsid w:val="00362967"/>
    <w:rsid w:val="00365B05"/>
    <w:rsid w:val="00367D5A"/>
    <w:rsid w:val="003745AD"/>
    <w:rsid w:val="00375EA9"/>
    <w:rsid w:val="003828B1"/>
    <w:rsid w:val="00386F57"/>
    <w:rsid w:val="00387916"/>
    <w:rsid w:val="003944A9"/>
    <w:rsid w:val="00394972"/>
    <w:rsid w:val="00394FD9"/>
    <w:rsid w:val="00395A28"/>
    <w:rsid w:val="003A0877"/>
    <w:rsid w:val="003A0D88"/>
    <w:rsid w:val="003A1EDA"/>
    <w:rsid w:val="003B3A24"/>
    <w:rsid w:val="003B3F3E"/>
    <w:rsid w:val="003C2286"/>
    <w:rsid w:val="003C327B"/>
    <w:rsid w:val="003C6422"/>
    <w:rsid w:val="003C6F02"/>
    <w:rsid w:val="003D014D"/>
    <w:rsid w:val="003D3B0F"/>
    <w:rsid w:val="003D5734"/>
    <w:rsid w:val="003E0387"/>
    <w:rsid w:val="003E628D"/>
    <w:rsid w:val="003E7D46"/>
    <w:rsid w:val="003F1576"/>
    <w:rsid w:val="003F2753"/>
    <w:rsid w:val="003F6375"/>
    <w:rsid w:val="004021B0"/>
    <w:rsid w:val="00404B1B"/>
    <w:rsid w:val="00404C11"/>
    <w:rsid w:val="004072C5"/>
    <w:rsid w:val="004074E6"/>
    <w:rsid w:val="00417D1C"/>
    <w:rsid w:val="00423293"/>
    <w:rsid w:val="00423B03"/>
    <w:rsid w:val="00423B93"/>
    <w:rsid w:val="00424F35"/>
    <w:rsid w:val="00425CE6"/>
    <w:rsid w:val="004272A8"/>
    <w:rsid w:val="00431F2C"/>
    <w:rsid w:val="004336AF"/>
    <w:rsid w:val="004514A3"/>
    <w:rsid w:val="00452598"/>
    <w:rsid w:val="00452916"/>
    <w:rsid w:val="00453116"/>
    <w:rsid w:val="00454FE0"/>
    <w:rsid w:val="00462729"/>
    <w:rsid w:val="00463219"/>
    <w:rsid w:val="00466EDA"/>
    <w:rsid w:val="00472723"/>
    <w:rsid w:val="00475F17"/>
    <w:rsid w:val="00476BFF"/>
    <w:rsid w:val="00477B7E"/>
    <w:rsid w:val="0048267F"/>
    <w:rsid w:val="00483380"/>
    <w:rsid w:val="00484DC8"/>
    <w:rsid w:val="0048540E"/>
    <w:rsid w:val="00485CF8"/>
    <w:rsid w:val="00493F89"/>
    <w:rsid w:val="004953A2"/>
    <w:rsid w:val="004973AB"/>
    <w:rsid w:val="004A0EA1"/>
    <w:rsid w:val="004A66EE"/>
    <w:rsid w:val="004B3347"/>
    <w:rsid w:val="004B3895"/>
    <w:rsid w:val="004C24DC"/>
    <w:rsid w:val="004C532B"/>
    <w:rsid w:val="004D1659"/>
    <w:rsid w:val="004D3935"/>
    <w:rsid w:val="004D6253"/>
    <w:rsid w:val="004E1E01"/>
    <w:rsid w:val="004E7007"/>
    <w:rsid w:val="004F0E0A"/>
    <w:rsid w:val="004F523A"/>
    <w:rsid w:val="004F748B"/>
    <w:rsid w:val="0050034A"/>
    <w:rsid w:val="005017BA"/>
    <w:rsid w:val="005039C2"/>
    <w:rsid w:val="005040EF"/>
    <w:rsid w:val="00512B98"/>
    <w:rsid w:val="00514828"/>
    <w:rsid w:val="00517EC1"/>
    <w:rsid w:val="005245D2"/>
    <w:rsid w:val="0052496B"/>
    <w:rsid w:val="00524FCE"/>
    <w:rsid w:val="00530A9E"/>
    <w:rsid w:val="005319BC"/>
    <w:rsid w:val="00533E3B"/>
    <w:rsid w:val="00540A18"/>
    <w:rsid w:val="0054105D"/>
    <w:rsid w:val="00541865"/>
    <w:rsid w:val="005437A0"/>
    <w:rsid w:val="00550B9C"/>
    <w:rsid w:val="005621F0"/>
    <w:rsid w:val="00566ED1"/>
    <w:rsid w:val="005809E8"/>
    <w:rsid w:val="00582AF2"/>
    <w:rsid w:val="00583D83"/>
    <w:rsid w:val="00590142"/>
    <w:rsid w:val="00593E9F"/>
    <w:rsid w:val="00594443"/>
    <w:rsid w:val="005A2849"/>
    <w:rsid w:val="005A4435"/>
    <w:rsid w:val="005A529B"/>
    <w:rsid w:val="005A54E9"/>
    <w:rsid w:val="005A678F"/>
    <w:rsid w:val="005B1589"/>
    <w:rsid w:val="005B1820"/>
    <w:rsid w:val="005B3A53"/>
    <w:rsid w:val="005B4785"/>
    <w:rsid w:val="005C6C60"/>
    <w:rsid w:val="005C70AB"/>
    <w:rsid w:val="005D085E"/>
    <w:rsid w:val="005D0DEE"/>
    <w:rsid w:val="005D32DA"/>
    <w:rsid w:val="005E24BD"/>
    <w:rsid w:val="005F2AF7"/>
    <w:rsid w:val="0060338E"/>
    <w:rsid w:val="006039A8"/>
    <w:rsid w:val="00603E1E"/>
    <w:rsid w:val="006050E0"/>
    <w:rsid w:val="00611B63"/>
    <w:rsid w:val="006121E4"/>
    <w:rsid w:val="0061273C"/>
    <w:rsid w:val="00613292"/>
    <w:rsid w:val="006152B2"/>
    <w:rsid w:val="006241B8"/>
    <w:rsid w:val="00624A8A"/>
    <w:rsid w:val="0062550B"/>
    <w:rsid w:val="00626246"/>
    <w:rsid w:val="0062639A"/>
    <w:rsid w:val="00626A29"/>
    <w:rsid w:val="006279DD"/>
    <w:rsid w:val="0063010F"/>
    <w:rsid w:val="006306E1"/>
    <w:rsid w:val="006308EC"/>
    <w:rsid w:val="00630CCD"/>
    <w:rsid w:val="00631857"/>
    <w:rsid w:val="00634AA5"/>
    <w:rsid w:val="006359AE"/>
    <w:rsid w:val="00642E3E"/>
    <w:rsid w:val="00642E99"/>
    <w:rsid w:val="006449F4"/>
    <w:rsid w:val="00644C3A"/>
    <w:rsid w:val="00645EDF"/>
    <w:rsid w:val="00654879"/>
    <w:rsid w:val="00655F3D"/>
    <w:rsid w:val="0066217E"/>
    <w:rsid w:val="00662E74"/>
    <w:rsid w:val="006633EA"/>
    <w:rsid w:val="0066416C"/>
    <w:rsid w:val="0066618D"/>
    <w:rsid w:val="00671594"/>
    <w:rsid w:val="00674726"/>
    <w:rsid w:val="00675B66"/>
    <w:rsid w:val="00681D57"/>
    <w:rsid w:val="00681F62"/>
    <w:rsid w:val="006837D2"/>
    <w:rsid w:val="00683F5A"/>
    <w:rsid w:val="00685847"/>
    <w:rsid w:val="00685ADB"/>
    <w:rsid w:val="006864C4"/>
    <w:rsid w:val="00692ACA"/>
    <w:rsid w:val="00696BE0"/>
    <w:rsid w:val="006978D9"/>
    <w:rsid w:val="006A3C75"/>
    <w:rsid w:val="006A42A7"/>
    <w:rsid w:val="006A6731"/>
    <w:rsid w:val="006A7486"/>
    <w:rsid w:val="006B2BE9"/>
    <w:rsid w:val="006B4F13"/>
    <w:rsid w:val="006B7503"/>
    <w:rsid w:val="006C4815"/>
    <w:rsid w:val="006C5A58"/>
    <w:rsid w:val="006C5C1B"/>
    <w:rsid w:val="006C721A"/>
    <w:rsid w:val="006D1517"/>
    <w:rsid w:val="006D3BCE"/>
    <w:rsid w:val="006D5257"/>
    <w:rsid w:val="006D6874"/>
    <w:rsid w:val="006E360E"/>
    <w:rsid w:val="006E6795"/>
    <w:rsid w:val="006F6D93"/>
    <w:rsid w:val="006F7984"/>
    <w:rsid w:val="0070677E"/>
    <w:rsid w:val="00707816"/>
    <w:rsid w:val="007117FF"/>
    <w:rsid w:val="0071341C"/>
    <w:rsid w:val="007158C0"/>
    <w:rsid w:val="0072162E"/>
    <w:rsid w:val="00730B72"/>
    <w:rsid w:val="00731339"/>
    <w:rsid w:val="00734D20"/>
    <w:rsid w:val="00743A30"/>
    <w:rsid w:val="00744E87"/>
    <w:rsid w:val="00750099"/>
    <w:rsid w:val="00750E32"/>
    <w:rsid w:val="007563AB"/>
    <w:rsid w:val="00756CD4"/>
    <w:rsid w:val="00760012"/>
    <w:rsid w:val="00762157"/>
    <w:rsid w:val="00771519"/>
    <w:rsid w:val="0077165A"/>
    <w:rsid w:val="00777F8E"/>
    <w:rsid w:val="00781969"/>
    <w:rsid w:val="00784E77"/>
    <w:rsid w:val="00785C76"/>
    <w:rsid w:val="00791764"/>
    <w:rsid w:val="007918D2"/>
    <w:rsid w:val="00791F99"/>
    <w:rsid w:val="0079614A"/>
    <w:rsid w:val="00797BA1"/>
    <w:rsid w:val="007A446F"/>
    <w:rsid w:val="007A720A"/>
    <w:rsid w:val="007B1510"/>
    <w:rsid w:val="007B5955"/>
    <w:rsid w:val="007B6BA6"/>
    <w:rsid w:val="007B75D2"/>
    <w:rsid w:val="007C0782"/>
    <w:rsid w:val="007C36EC"/>
    <w:rsid w:val="007C5C92"/>
    <w:rsid w:val="007D19A2"/>
    <w:rsid w:val="007D3865"/>
    <w:rsid w:val="007D6AA8"/>
    <w:rsid w:val="007E06D5"/>
    <w:rsid w:val="007E556B"/>
    <w:rsid w:val="00800212"/>
    <w:rsid w:val="008013CB"/>
    <w:rsid w:val="00802477"/>
    <w:rsid w:val="00803797"/>
    <w:rsid w:val="008059DA"/>
    <w:rsid w:val="00806794"/>
    <w:rsid w:val="0081102B"/>
    <w:rsid w:val="008127B2"/>
    <w:rsid w:val="0082183D"/>
    <w:rsid w:val="008222FE"/>
    <w:rsid w:val="00827808"/>
    <w:rsid w:val="00831888"/>
    <w:rsid w:val="00833A9A"/>
    <w:rsid w:val="00842874"/>
    <w:rsid w:val="00842BD7"/>
    <w:rsid w:val="00845D45"/>
    <w:rsid w:val="008670BA"/>
    <w:rsid w:val="00873EE1"/>
    <w:rsid w:val="008778C2"/>
    <w:rsid w:val="00877C5D"/>
    <w:rsid w:val="00884559"/>
    <w:rsid w:val="00896AB5"/>
    <w:rsid w:val="008A1221"/>
    <w:rsid w:val="008A1674"/>
    <w:rsid w:val="008A4304"/>
    <w:rsid w:val="008B0906"/>
    <w:rsid w:val="008B1357"/>
    <w:rsid w:val="008B2A2E"/>
    <w:rsid w:val="008B77F4"/>
    <w:rsid w:val="008C042F"/>
    <w:rsid w:val="008D0B1C"/>
    <w:rsid w:val="008D1188"/>
    <w:rsid w:val="008D18A7"/>
    <w:rsid w:val="008D72DE"/>
    <w:rsid w:val="008F0198"/>
    <w:rsid w:val="008F2071"/>
    <w:rsid w:val="008F7FCB"/>
    <w:rsid w:val="009033DB"/>
    <w:rsid w:val="0090369E"/>
    <w:rsid w:val="00904870"/>
    <w:rsid w:val="0091122B"/>
    <w:rsid w:val="0091136A"/>
    <w:rsid w:val="009125BE"/>
    <w:rsid w:val="0091591D"/>
    <w:rsid w:val="0092321B"/>
    <w:rsid w:val="00923E2F"/>
    <w:rsid w:val="009241A4"/>
    <w:rsid w:val="00924F2C"/>
    <w:rsid w:val="00930A02"/>
    <w:rsid w:val="00931FEA"/>
    <w:rsid w:val="0093415E"/>
    <w:rsid w:val="0093532D"/>
    <w:rsid w:val="009400DB"/>
    <w:rsid w:val="00941B15"/>
    <w:rsid w:val="00944892"/>
    <w:rsid w:val="00945794"/>
    <w:rsid w:val="009459BB"/>
    <w:rsid w:val="00947724"/>
    <w:rsid w:val="00947E15"/>
    <w:rsid w:val="00951831"/>
    <w:rsid w:val="009632CD"/>
    <w:rsid w:val="00963A6E"/>
    <w:rsid w:val="00966AD2"/>
    <w:rsid w:val="00967388"/>
    <w:rsid w:val="00972277"/>
    <w:rsid w:val="00980EF5"/>
    <w:rsid w:val="00981FB2"/>
    <w:rsid w:val="00983376"/>
    <w:rsid w:val="00991DF8"/>
    <w:rsid w:val="00992957"/>
    <w:rsid w:val="009A4438"/>
    <w:rsid w:val="009A6489"/>
    <w:rsid w:val="009B1F36"/>
    <w:rsid w:val="009B4E85"/>
    <w:rsid w:val="009C4382"/>
    <w:rsid w:val="009C6212"/>
    <w:rsid w:val="009C7A7E"/>
    <w:rsid w:val="009D3282"/>
    <w:rsid w:val="009D5C96"/>
    <w:rsid w:val="009D7D7F"/>
    <w:rsid w:val="009E5EC4"/>
    <w:rsid w:val="009E632F"/>
    <w:rsid w:val="009F2EA7"/>
    <w:rsid w:val="00A001F9"/>
    <w:rsid w:val="00A0255E"/>
    <w:rsid w:val="00A02E72"/>
    <w:rsid w:val="00A0455C"/>
    <w:rsid w:val="00A05A96"/>
    <w:rsid w:val="00A135C1"/>
    <w:rsid w:val="00A1756A"/>
    <w:rsid w:val="00A2053E"/>
    <w:rsid w:val="00A22DB7"/>
    <w:rsid w:val="00A24BD2"/>
    <w:rsid w:val="00A26F0C"/>
    <w:rsid w:val="00A57163"/>
    <w:rsid w:val="00A65E1E"/>
    <w:rsid w:val="00A7226B"/>
    <w:rsid w:val="00A75B77"/>
    <w:rsid w:val="00A846E7"/>
    <w:rsid w:val="00A848F0"/>
    <w:rsid w:val="00A86E78"/>
    <w:rsid w:val="00A923A3"/>
    <w:rsid w:val="00A95D9F"/>
    <w:rsid w:val="00AA1A79"/>
    <w:rsid w:val="00AA1BD1"/>
    <w:rsid w:val="00AA2D51"/>
    <w:rsid w:val="00AA6A43"/>
    <w:rsid w:val="00AA6C23"/>
    <w:rsid w:val="00AC1E38"/>
    <w:rsid w:val="00AC2ECB"/>
    <w:rsid w:val="00AC3A48"/>
    <w:rsid w:val="00AD42B2"/>
    <w:rsid w:val="00AD5992"/>
    <w:rsid w:val="00AE0B07"/>
    <w:rsid w:val="00AE1A04"/>
    <w:rsid w:val="00AE351B"/>
    <w:rsid w:val="00AE65AE"/>
    <w:rsid w:val="00AF1291"/>
    <w:rsid w:val="00B00105"/>
    <w:rsid w:val="00B031CD"/>
    <w:rsid w:val="00B05750"/>
    <w:rsid w:val="00B05955"/>
    <w:rsid w:val="00B11000"/>
    <w:rsid w:val="00B12B8E"/>
    <w:rsid w:val="00B17C20"/>
    <w:rsid w:val="00B2038C"/>
    <w:rsid w:val="00B21705"/>
    <w:rsid w:val="00B231AA"/>
    <w:rsid w:val="00B232BA"/>
    <w:rsid w:val="00B24846"/>
    <w:rsid w:val="00B30437"/>
    <w:rsid w:val="00B33254"/>
    <w:rsid w:val="00B36CAA"/>
    <w:rsid w:val="00B37F0E"/>
    <w:rsid w:val="00B40864"/>
    <w:rsid w:val="00B4145B"/>
    <w:rsid w:val="00B450CB"/>
    <w:rsid w:val="00B51023"/>
    <w:rsid w:val="00B516F2"/>
    <w:rsid w:val="00B53453"/>
    <w:rsid w:val="00B56132"/>
    <w:rsid w:val="00B56DC1"/>
    <w:rsid w:val="00B6265F"/>
    <w:rsid w:val="00B655AB"/>
    <w:rsid w:val="00B707E6"/>
    <w:rsid w:val="00B74DF3"/>
    <w:rsid w:val="00B7581C"/>
    <w:rsid w:val="00B75E2B"/>
    <w:rsid w:val="00B81589"/>
    <w:rsid w:val="00B83053"/>
    <w:rsid w:val="00B93D90"/>
    <w:rsid w:val="00B95319"/>
    <w:rsid w:val="00BA245B"/>
    <w:rsid w:val="00BA322A"/>
    <w:rsid w:val="00BA5F67"/>
    <w:rsid w:val="00BA6AAC"/>
    <w:rsid w:val="00BB0BF7"/>
    <w:rsid w:val="00BB32C7"/>
    <w:rsid w:val="00BB3D92"/>
    <w:rsid w:val="00BB57F8"/>
    <w:rsid w:val="00BB6397"/>
    <w:rsid w:val="00BC3D96"/>
    <w:rsid w:val="00BC4E7F"/>
    <w:rsid w:val="00BC55EF"/>
    <w:rsid w:val="00BC73AF"/>
    <w:rsid w:val="00BC77C2"/>
    <w:rsid w:val="00BD27CA"/>
    <w:rsid w:val="00BD3DDF"/>
    <w:rsid w:val="00BD4D6B"/>
    <w:rsid w:val="00BE3192"/>
    <w:rsid w:val="00BF1971"/>
    <w:rsid w:val="00BF2769"/>
    <w:rsid w:val="00C01351"/>
    <w:rsid w:val="00C06220"/>
    <w:rsid w:val="00C072D2"/>
    <w:rsid w:val="00C1013C"/>
    <w:rsid w:val="00C13B60"/>
    <w:rsid w:val="00C13EE8"/>
    <w:rsid w:val="00C179CC"/>
    <w:rsid w:val="00C17D2F"/>
    <w:rsid w:val="00C219CB"/>
    <w:rsid w:val="00C23123"/>
    <w:rsid w:val="00C26579"/>
    <w:rsid w:val="00C26B93"/>
    <w:rsid w:val="00C30A7F"/>
    <w:rsid w:val="00C31D20"/>
    <w:rsid w:val="00C336C6"/>
    <w:rsid w:val="00C3614F"/>
    <w:rsid w:val="00C37F3D"/>
    <w:rsid w:val="00C40069"/>
    <w:rsid w:val="00C40DCB"/>
    <w:rsid w:val="00C46A79"/>
    <w:rsid w:val="00C46F1A"/>
    <w:rsid w:val="00C47B0C"/>
    <w:rsid w:val="00C47FA3"/>
    <w:rsid w:val="00C52F51"/>
    <w:rsid w:val="00C55977"/>
    <w:rsid w:val="00C5631C"/>
    <w:rsid w:val="00C563F6"/>
    <w:rsid w:val="00C567DC"/>
    <w:rsid w:val="00C574AA"/>
    <w:rsid w:val="00C60F2A"/>
    <w:rsid w:val="00C642E5"/>
    <w:rsid w:val="00C66E69"/>
    <w:rsid w:val="00C70CC5"/>
    <w:rsid w:val="00C70EF9"/>
    <w:rsid w:val="00C74C87"/>
    <w:rsid w:val="00C75A69"/>
    <w:rsid w:val="00C77256"/>
    <w:rsid w:val="00C80F9A"/>
    <w:rsid w:val="00C83F31"/>
    <w:rsid w:val="00C90BB7"/>
    <w:rsid w:val="00CA0C3A"/>
    <w:rsid w:val="00CA5AF6"/>
    <w:rsid w:val="00CB7301"/>
    <w:rsid w:val="00CB792E"/>
    <w:rsid w:val="00CC0005"/>
    <w:rsid w:val="00CC09AE"/>
    <w:rsid w:val="00CC35EB"/>
    <w:rsid w:val="00CC71CF"/>
    <w:rsid w:val="00CD0217"/>
    <w:rsid w:val="00CD295D"/>
    <w:rsid w:val="00CD2A25"/>
    <w:rsid w:val="00CD3420"/>
    <w:rsid w:val="00CD508F"/>
    <w:rsid w:val="00CD59FF"/>
    <w:rsid w:val="00CD7276"/>
    <w:rsid w:val="00CF3C5E"/>
    <w:rsid w:val="00D020E1"/>
    <w:rsid w:val="00D048CF"/>
    <w:rsid w:val="00D073D2"/>
    <w:rsid w:val="00D075ED"/>
    <w:rsid w:val="00D10263"/>
    <w:rsid w:val="00D126A2"/>
    <w:rsid w:val="00D164F3"/>
    <w:rsid w:val="00D16EA5"/>
    <w:rsid w:val="00D253FE"/>
    <w:rsid w:val="00D26B69"/>
    <w:rsid w:val="00D27598"/>
    <w:rsid w:val="00D3138F"/>
    <w:rsid w:val="00D3189B"/>
    <w:rsid w:val="00D3376E"/>
    <w:rsid w:val="00D426EC"/>
    <w:rsid w:val="00D436FC"/>
    <w:rsid w:val="00D45D4F"/>
    <w:rsid w:val="00D50CAA"/>
    <w:rsid w:val="00D521DB"/>
    <w:rsid w:val="00D5734D"/>
    <w:rsid w:val="00D60068"/>
    <w:rsid w:val="00D602EC"/>
    <w:rsid w:val="00D62533"/>
    <w:rsid w:val="00D65105"/>
    <w:rsid w:val="00D665BB"/>
    <w:rsid w:val="00D75E91"/>
    <w:rsid w:val="00D771DB"/>
    <w:rsid w:val="00D814BF"/>
    <w:rsid w:val="00D84440"/>
    <w:rsid w:val="00D86856"/>
    <w:rsid w:val="00D90ACE"/>
    <w:rsid w:val="00DA65EF"/>
    <w:rsid w:val="00DA78F8"/>
    <w:rsid w:val="00DB2672"/>
    <w:rsid w:val="00DB425F"/>
    <w:rsid w:val="00DB4A4E"/>
    <w:rsid w:val="00DB4C2C"/>
    <w:rsid w:val="00DB784E"/>
    <w:rsid w:val="00DC051A"/>
    <w:rsid w:val="00DC1D2A"/>
    <w:rsid w:val="00DC5154"/>
    <w:rsid w:val="00DD34AE"/>
    <w:rsid w:val="00DD51BE"/>
    <w:rsid w:val="00DD610D"/>
    <w:rsid w:val="00DE6040"/>
    <w:rsid w:val="00DE6543"/>
    <w:rsid w:val="00DF0844"/>
    <w:rsid w:val="00DF5723"/>
    <w:rsid w:val="00E01F96"/>
    <w:rsid w:val="00E03665"/>
    <w:rsid w:val="00E03947"/>
    <w:rsid w:val="00E062BF"/>
    <w:rsid w:val="00E12613"/>
    <w:rsid w:val="00E12AC7"/>
    <w:rsid w:val="00E14B17"/>
    <w:rsid w:val="00E14BA8"/>
    <w:rsid w:val="00E15976"/>
    <w:rsid w:val="00E15FE9"/>
    <w:rsid w:val="00E169FB"/>
    <w:rsid w:val="00E16F0C"/>
    <w:rsid w:val="00E203D3"/>
    <w:rsid w:val="00E25B68"/>
    <w:rsid w:val="00E27CE1"/>
    <w:rsid w:val="00E27D47"/>
    <w:rsid w:val="00E33F15"/>
    <w:rsid w:val="00E360F0"/>
    <w:rsid w:val="00E36C86"/>
    <w:rsid w:val="00E560AB"/>
    <w:rsid w:val="00E613C9"/>
    <w:rsid w:val="00E77501"/>
    <w:rsid w:val="00E77AEA"/>
    <w:rsid w:val="00E80AFF"/>
    <w:rsid w:val="00E848ED"/>
    <w:rsid w:val="00E87717"/>
    <w:rsid w:val="00E90D09"/>
    <w:rsid w:val="00E916B5"/>
    <w:rsid w:val="00E92707"/>
    <w:rsid w:val="00E948FE"/>
    <w:rsid w:val="00E94B59"/>
    <w:rsid w:val="00E9758E"/>
    <w:rsid w:val="00EA1D65"/>
    <w:rsid w:val="00EA353C"/>
    <w:rsid w:val="00EA3F8B"/>
    <w:rsid w:val="00EA68EF"/>
    <w:rsid w:val="00EA6990"/>
    <w:rsid w:val="00EA71FD"/>
    <w:rsid w:val="00EB299D"/>
    <w:rsid w:val="00EB7C9A"/>
    <w:rsid w:val="00EC0536"/>
    <w:rsid w:val="00EC4F69"/>
    <w:rsid w:val="00EC5890"/>
    <w:rsid w:val="00EC5CEA"/>
    <w:rsid w:val="00ED00F6"/>
    <w:rsid w:val="00ED129D"/>
    <w:rsid w:val="00ED18AE"/>
    <w:rsid w:val="00ED1992"/>
    <w:rsid w:val="00ED2EC4"/>
    <w:rsid w:val="00ED41DB"/>
    <w:rsid w:val="00ED7922"/>
    <w:rsid w:val="00ED7BF6"/>
    <w:rsid w:val="00EE2742"/>
    <w:rsid w:val="00EE6302"/>
    <w:rsid w:val="00EE680D"/>
    <w:rsid w:val="00EF0D1B"/>
    <w:rsid w:val="00EF7107"/>
    <w:rsid w:val="00F017C4"/>
    <w:rsid w:val="00F04829"/>
    <w:rsid w:val="00F06412"/>
    <w:rsid w:val="00F07D54"/>
    <w:rsid w:val="00F1020F"/>
    <w:rsid w:val="00F12C28"/>
    <w:rsid w:val="00F13A03"/>
    <w:rsid w:val="00F161B9"/>
    <w:rsid w:val="00F16370"/>
    <w:rsid w:val="00F17755"/>
    <w:rsid w:val="00F2010C"/>
    <w:rsid w:val="00F23991"/>
    <w:rsid w:val="00F23C6C"/>
    <w:rsid w:val="00F24D4C"/>
    <w:rsid w:val="00F27542"/>
    <w:rsid w:val="00F3145B"/>
    <w:rsid w:val="00F357CC"/>
    <w:rsid w:val="00F422B2"/>
    <w:rsid w:val="00F45C01"/>
    <w:rsid w:val="00F52401"/>
    <w:rsid w:val="00F57DBA"/>
    <w:rsid w:val="00F6231F"/>
    <w:rsid w:val="00F623F5"/>
    <w:rsid w:val="00F630D9"/>
    <w:rsid w:val="00F74BFC"/>
    <w:rsid w:val="00F826F7"/>
    <w:rsid w:val="00F86806"/>
    <w:rsid w:val="00F9190C"/>
    <w:rsid w:val="00FB6ED9"/>
    <w:rsid w:val="00FC1615"/>
    <w:rsid w:val="00FC17C7"/>
    <w:rsid w:val="00FC201E"/>
    <w:rsid w:val="00FC5603"/>
    <w:rsid w:val="00FD284D"/>
    <w:rsid w:val="00FD3934"/>
    <w:rsid w:val="00FD479E"/>
    <w:rsid w:val="00FE0DFD"/>
    <w:rsid w:val="00FE2FBA"/>
    <w:rsid w:val="00FE6152"/>
    <w:rsid w:val="00FE6451"/>
    <w:rsid w:val="00FE6EAA"/>
    <w:rsid w:val="00FE70ED"/>
    <w:rsid w:val="00FF0659"/>
    <w:rsid w:val="00FF3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7BBCB"/>
  <w15:docId w15:val="{13433731-04BF-4E9F-9D7B-BFA5E14D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586"/>
    <w:pPr>
      <w:spacing w:after="120" w:line="240" w:lineRule="auto"/>
    </w:pPr>
    <w:rPr>
      <w:rFonts w:ascii="Times New Roman" w:hAnsi="Times New Roman"/>
      <w:sz w:val="24"/>
    </w:rPr>
  </w:style>
  <w:style w:type="paragraph" w:styleId="Heading1">
    <w:name w:val="heading 1"/>
    <w:basedOn w:val="Normal"/>
    <w:next w:val="Normal"/>
    <w:link w:val="Heading1Char"/>
    <w:uiPriority w:val="9"/>
    <w:qFormat/>
    <w:rsid w:val="00B37F0E"/>
    <w:pPr>
      <w:keepNext/>
      <w:keepLines/>
      <w:numPr>
        <w:numId w:val="3"/>
      </w:numPr>
      <w:spacing w:before="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404C11"/>
    <w:pPr>
      <w:keepNext/>
      <w:keepLines/>
      <w:numPr>
        <w:ilvl w:val="1"/>
        <w:numId w:val="3"/>
      </w:numPr>
      <w:spacing w:before="40" w:after="0"/>
      <w:outlineLvl w:val="1"/>
    </w:pPr>
    <w:rPr>
      <w:rFonts w:eastAsiaTheme="majorEastAsia" w:cstheme="majorBidi"/>
      <w:i/>
      <w:iCs/>
      <w:szCs w:val="26"/>
      <w:u w:val="single"/>
    </w:rPr>
  </w:style>
  <w:style w:type="paragraph" w:styleId="Heading3">
    <w:name w:val="heading 3"/>
    <w:basedOn w:val="Normal"/>
    <w:next w:val="Normal"/>
    <w:link w:val="Heading3Char"/>
    <w:uiPriority w:val="9"/>
    <w:unhideWhenUsed/>
    <w:qFormat/>
    <w:rsid w:val="00C80F9A"/>
    <w:pPr>
      <w:keepNext/>
      <w:keepLines/>
      <w:numPr>
        <w:ilvl w:val="2"/>
        <w:numId w:val="3"/>
      </w:numPr>
      <w:spacing w:before="40" w:after="0"/>
      <w:outlineLvl w:val="2"/>
    </w:pPr>
    <w:rPr>
      <w:rFonts w:eastAsiaTheme="majorEastAsia" w:cstheme="majorBidi"/>
      <w:i/>
      <w:szCs w:val="24"/>
    </w:rPr>
  </w:style>
  <w:style w:type="paragraph" w:styleId="Heading4">
    <w:name w:val="heading 4"/>
    <w:basedOn w:val="Normal"/>
    <w:next w:val="Normal"/>
    <w:link w:val="Heading4Char"/>
    <w:uiPriority w:val="9"/>
    <w:semiHidden/>
    <w:unhideWhenUsed/>
    <w:qFormat/>
    <w:rsid w:val="006308EC"/>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308EC"/>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308EC"/>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308EC"/>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308EC"/>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08EC"/>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F0E"/>
    <w:rPr>
      <w:rFonts w:ascii="Times New Roman" w:eastAsiaTheme="majorEastAsia" w:hAnsi="Times New Roman" w:cstheme="majorBidi"/>
      <w:b/>
      <w:sz w:val="24"/>
      <w:szCs w:val="32"/>
    </w:rPr>
  </w:style>
  <w:style w:type="table" w:styleId="TableGrid">
    <w:name w:val="Table Grid"/>
    <w:basedOn w:val="TableNormal"/>
    <w:uiPriority w:val="39"/>
    <w:rsid w:val="004F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60F0"/>
    <w:rPr>
      <w:color w:val="808080"/>
    </w:rPr>
  </w:style>
  <w:style w:type="paragraph" w:styleId="NoSpacing">
    <w:name w:val="No Spacing"/>
    <w:uiPriority w:val="1"/>
    <w:qFormat/>
    <w:rsid w:val="006279DD"/>
    <w:pPr>
      <w:spacing w:after="0" w:line="240" w:lineRule="auto"/>
    </w:pPr>
    <w:rPr>
      <w:rFonts w:ascii="Times New Roman" w:hAnsi="Times New Roman"/>
      <w:sz w:val="24"/>
    </w:rPr>
  </w:style>
  <w:style w:type="character" w:customStyle="1" w:styleId="Heading2Char">
    <w:name w:val="Heading 2 Char"/>
    <w:basedOn w:val="DefaultParagraphFont"/>
    <w:link w:val="Heading2"/>
    <w:uiPriority w:val="9"/>
    <w:rsid w:val="00404C11"/>
    <w:rPr>
      <w:rFonts w:ascii="Times New Roman" w:eastAsiaTheme="majorEastAsia" w:hAnsi="Times New Roman" w:cstheme="majorBidi"/>
      <w:i/>
      <w:iCs/>
      <w:sz w:val="24"/>
      <w:szCs w:val="26"/>
      <w:u w:val="single"/>
    </w:rPr>
  </w:style>
  <w:style w:type="character" w:customStyle="1" w:styleId="Heading3Char">
    <w:name w:val="Heading 3 Char"/>
    <w:basedOn w:val="DefaultParagraphFont"/>
    <w:link w:val="Heading3"/>
    <w:uiPriority w:val="9"/>
    <w:rsid w:val="00C80F9A"/>
    <w:rPr>
      <w:rFonts w:ascii="Times New Roman" w:eastAsiaTheme="majorEastAsia" w:hAnsi="Times New Roman" w:cstheme="majorBidi"/>
      <w:i/>
      <w:sz w:val="24"/>
      <w:szCs w:val="24"/>
    </w:rPr>
  </w:style>
  <w:style w:type="character" w:customStyle="1" w:styleId="Heading4Char">
    <w:name w:val="Heading 4 Char"/>
    <w:basedOn w:val="DefaultParagraphFont"/>
    <w:link w:val="Heading4"/>
    <w:uiPriority w:val="9"/>
    <w:semiHidden/>
    <w:rsid w:val="006308EC"/>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6308EC"/>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6308EC"/>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6308EC"/>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6308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08EC"/>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uiPriority w:val="99"/>
    <w:semiHidden/>
    <w:unhideWhenUsed/>
    <w:rsid w:val="00004C62"/>
    <w:pPr>
      <w:spacing w:after="0"/>
    </w:pPr>
    <w:rPr>
      <w:sz w:val="20"/>
      <w:szCs w:val="20"/>
    </w:rPr>
  </w:style>
  <w:style w:type="character" w:customStyle="1" w:styleId="FootnoteTextChar">
    <w:name w:val="Footnote Text Char"/>
    <w:basedOn w:val="DefaultParagraphFont"/>
    <w:link w:val="FootnoteText"/>
    <w:uiPriority w:val="99"/>
    <w:semiHidden/>
    <w:rsid w:val="00004C62"/>
    <w:rPr>
      <w:rFonts w:ascii="Times New Roman" w:hAnsi="Times New Roman"/>
      <w:sz w:val="20"/>
      <w:szCs w:val="20"/>
    </w:rPr>
  </w:style>
  <w:style w:type="character" w:styleId="FootnoteReference">
    <w:name w:val="footnote reference"/>
    <w:basedOn w:val="DefaultParagraphFont"/>
    <w:uiPriority w:val="99"/>
    <w:semiHidden/>
    <w:unhideWhenUsed/>
    <w:rsid w:val="00004C62"/>
    <w:rPr>
      <w:vertAlign w:val="superscript"/>
    </w:rPr>
  </w:style>
  <w:style w:type="character" w:styleId="Hyperlink">
    <w:name w:val="Hyperlink"/>
    <w:basedOn w:val="DefaultParagraphFont"/>
    <w:uiPriority w:val="99"/>
    <w:unhideWhenUsed/>
    <w:rsid w:val="00FC201E"/>
    <w:rPr>
      <w:color w:val="0563C1" w:themeColor="hyperlink"/>
      <w:u w:val="single"/>
    </w:rPr>
  </w:style>
  <w:style w:type="paragraph" w:styleId="Header">
    <w:name w:val="header"/>
    <w:basedOn w:val="Normal"/>
    <w:link w:val="HeaderChar"/>
    <w:uiPriority w:val="99"/>
    <w:unhideWhenUsed/>
    <w:rsid w:val="00367D5A"/>
    <w:pPr>
      <w:tabs>
        <w:tab w:val="center" w:pos="4680"/>
        <w:tab w:val="right" w:pos="9360"/>
      </w:tabs>
      <w:spacing w:after="0"/>
    </w:pPr>
  </w:style>
  <w:style w:type="character" w:customStyle="1" w:styleId="HeaderChar">
    <w:name w:val="Header Char"/>
    <w:basedOn w:val="DefaultParagraphFont"/>
    <w:link w:val="Header"/>
    <w:uiPriority w:val="99"/>
    <w:rsid w:val="00367D5A"/>
    <w:rPr>
      <w:rFonts w:ascii="Times New Roman" w:hAnsi="Times New Roman"/>
      <w:sz w:val="24"/>
    </w:rPr>
  </w:style>
  <w:style w:type="paragraph" w:styleId="Footer">
    <w:name w:val="footer"/>
    <w:basedOn w:val="Normal"/>
    <w:link w:val="FooterChar"/>
    <w:uiPriority w:val="99"/>
    <w:unhideWhenUsed/>
    <w:rsid w:val="00367D5A"/>
    <w:pPr>
      <w:tabs>
        <w:tab w:val="center" w:pos="4680"/>
        <w:tab w:val="right" w:pos="9360"/>
      </w:tabs>
      <w:spacing w:after="0"/>
    </w:pPr>
  </w:style>
  <w:style w:type="character" w:customStyle="1" w:styleId="FooterChar">
    <w:name w:val="Footer Char"/>
    <w:basedOn w:val="DefaultParagraphFont"/>
    <w:link w:val="Footer"/>
    <w:uiPriority w:val="99"/>
    <w:rsid w:val="00367D5A"/>
    <w:rPr>
      <w:rFonts w:ascii="Times New Roman" w:hAnsi="Times New Roman"/>
      <w:sz w:val="24"/>
    </w:rPr>
  </w:style>
  <w:style w:type="character" w:styleId="CommentReference">
    <w:name w:val="annotation reference"/>
    <w:basedOn w:val="DefaultParagraphFont"/>
    <w:uiPriority w:val="99"/>
    <w:semiHidden/>
    <w:unhideWhenUsed/>
    <w:rsid w:val="00BC55EF"/>
    <w:rPr>
      <w:sz w:val="16"/>
      <w:szCs w:val="16"/>
    </w:rPr>
  </w:style>
  <w:style w:type="paragraph" w:styleId="CommentText">
    <w:name w:val="annotation text"/>
    <w:basedOn w:val="Normal"/>
    <w:link w:val="CommentTextChar"/>
    <w:uiPriority w:val="99"/>
    <w:unhideWhenUsed/>
    <w:rsid w:val="00BC55EF"/>
    <w:rPr>
      <w:sz w:val="20"/>
      <w:szCs w:val="20"/>
    </w:rPr>
  </w:style>
  <w:style w:type="character" w:customStyle="1" w:styleId="CommentTextChar">
    <w:name w:val="Comment Text Char"/>
    <w:basedOn w:val="DefaultParagraphFont"/>
    <w:link w:val="CommentText"/>
    <w:uiPriority w:val="99"/>
    <w:rsid w:val="00BC55E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C55EF"/>
    <w:rPr>
      <w:b/>
      <w:bCs/>
    </w:rPr>
  </w:style>
  <w:style w:type="character" w:customStyle="1" w:styleId="CommentSubjectChar">
    <w:name w:val="Comment Subject Char"/>
    <w:basedOn w:val="CommentTextChar"/>
    <w:link w:val="CommentSubject"/>
    <w:uiPriority w:val="99"/>
    <w:semiHidden/>
    <w:rsid w:val="00BC55EF"/>
    <w:rPr>
      <w:rFonts w:ascii="Times New Roman" w:hAnsi="Times New Roman"/>
      <w:b/>
      <w:bCs/>
      <w:sz w:val="20"/>
      <w:szCs w:val="20"/>
    </w:rPr>
  </w:style>
  <w:style w:type="paragraph" w:styleId="Revision">
    <w:name w:val="Revision"/>
    <w:hidden/>
    <w:uiPriority w:val="99"/>
    <w:semiHidden/>
    <w:rsid w:val="0066618D"/>
    <w:pPr>
      <w:spacing w:after="0" w:line="240" w:lineRule="auto"/>
    </w:pPr>
    <w:rPr>
      <w:rFonts w:ascii="Times New Roman" w:hAnsi="Times New Roman"/>
      <w:sz w:val="24"/>
    </w:rPr>
  </w:style>
  <w:style w:type="character" w:styleId="EndnoteReference">
    <w:name w:val="endnote reference"/>
    <w:basedOn w:val="DefaultParagraphFont"/>
    <w:uiPriority w:val="99"/>
    <w:semiHidden/>
    <w:unhideWhenUsed/>
    <w:rsid w:val="007C5C92"/>
    <w:rPr>
      <w:vertAlign w:val="superscript"/>
    </w:rPr>
  </w:style>
  <w:style w:type="character" w:styleId="UnresolvedMention">
    <w:name w:val="Unresolved Mention"/>
    <w:basedOn w:val="DefaultParagraphFont"/>
    <w:uiPriority w:val="99"/>
    <w:semiHidden/>
    <w:unhideWhenUsed/>
    <w:rsid w:val="006262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742">
      <w:bodyDiv w:val="1"/>
      <w:marLeft w:val="0"/>
      <w:marRight w:val="0"/>
      <w:marTop w:val="0"/>
      <w:marBottom w:val="0"/>
      <w:divBdr>
        <w:top w:val="none" w:sz="0" w:space="0" w:color="auto"/>
        <w:left w:val="none" w:sz="0" w:space="0" w:color="auto"/>
        <w:bottom w:val="none" w:sz="0" w:space="0" w:color="auto"/>
        <w:right w:val="none" w:sz="0" w:space="0" w:color="auto"/>
      </w:divBdr>
    </w:div>
    <w:div w:id="348337302">
      <w:bodyDiv w:val="1"/>
      <w:marLeft w:val="0"/>
      <w:marRight w:val="0"/>
      <w:marTop w:val="0"/>
      <w:marBottom w:val="0"/>
      <w:divBdr>
        <w:top w:val="none" w:sz="0" w:space="0" w:color="auto"/>
        <w:left w:val="none" w:sz="0" w:space="0" w:color="auto"/>
        <w:bottom w:val="none" w:sz="0" w:space="0" w:color="auto"/>
        <w:right w:val="none" w:sz="0" w:space="0" w:color="auto"/>
      </w:divBdr>
    </w:div>
    <w:div w:id="574822609">
      <w:bodyDiv w:val="1"/>
      <w:marLeft w:val="0"/>
      <w:marRight w:val="0"/>
      <w:marTop w:val="0"/>
      <w:marBottom w:val="0"/>
      <w:divBdr>
        <w:top w:val="none" w:sz="0" w:space="0" w:color="auto"/>
        <w:left w:val="none" w:sz="0" w:space="0" w:color="auto"/>
        <w:bottom w:val="none" w:sz="0" w:space="0" w:color="auto"/>
        <w:right w:val="none" w:sz="0" w:space="0" w:color="auto"/>
      </w:divBdr>
    </w:div>
    <w:div w:id="586812359">
      <w:bodyDiv w:val="1"/>
      <w:marLeft w:val="0"/>
      <w:marRight w:val="0"/>
      <w:marTop w:val="0"/>
      <w:marBottom w:val="0"/>
      <w:divBdr>
        <w:top w:val="none" w:sz="0" w:space="0" w:color="auto"/>
        <w:left w:val="none" w:sz="0" w:space="0" w:color="auto"/>
        <w:bottom w:val="none" w:sz="0" w:space="0" w:color="auto"/>
        <w:right w:val="none" w:sz="0" w:space="0" w:color="auto"/>
      </w:divBdr>
    </w:div>
    <w:div w:id="688140039">
      <w:bodyDiv w:val="1"/>
      <w:marLeft w:val="0"/>
      <w:marRight w:val="0"/>
      <w:marTop w:val="0"/>
      <w:marBottom w:val="0"/>
      <w:divBdr>
        <w:top w:val="none" w:sz="0" w:space="0" w:color="auto"/>
        <w:left w:val="none" w:sz="0" w:space="0" w:color="auto"/>
        <w:bottom w:val="none" w:sz="0" w:space="0" w:color="auto"/>
        <w:right w:val="none" w:sz="0" w:space="0" w:color="auto"/>
      </w:divBdr>
    </w:div>
    <w:div w:id="783040215">
      <w:bodyDiv w:val="1"/>
      <w:marLeft w:val="0"/>
      <w:marRight w:val="0"/>
      <w:marTop w:val="0"/>
      <w:marBottom w:val="0"/>
      <w:divBdr>
        <w:top w:val="none" w:sz="0" w:space="0" w:color="auto"/>
        <w:left w:val="none" w:sz="0" w:space="0" w:color="auto"/>
        <w:bottom w:val="none" w:sz="0" w:space="0" w:color="auto"/>
        <w:right w:val="none" w:sz="0" w:space="0" w:color="auto"/>
      </w:divBdr>
    </w:div>
    <w:div w:id="793015419">
      <w:bodyDiv w:val="1"/>
      <w:marLeft w:val="0"/>
      <w:marRight w:val="0"/>
      <w:marTop w:val="0"/>
      <w:marBottom w:val="0"/>
      <w:divBdr>
        <w:top w:val="none" w:sz="0" w:space="0" w:color="auto"/>
        <w:left w:val="none" w:sz="0" w:space="0" w:color="auto"/>
        <w:bottom w:val="none" w:sz="0" w:space="0" w:color="auto"/>
        <w:right w:val="none" w:sz="0" w:space="0" w:color="auto"/>
      </w:divBdr>
    </w:div>
    <w:div w:id="1088043107">
      <w:bodyDiv w:val="1"/>
      <w:marLeft w:val="0"/>
      <w:marRight w:val="0"/>
      <w:marTop w:val="0"/>
      <w:marBottom w:val="0"/>
      <w:divBdr>
        <w:top w:val="none" w:sz="0" w:space="0" w:color="auto"/>
        <w:left w:val="none" w:sz="0" w:space="0" w:color="auto"/>
        <w:bottom w:val="none" w:sz="0" w:space="0" w:color="auto"/>
        <w:right w:val="none" w:sz="0" w:space="0" w:color="auto"/>
      </w:divBdr>
    </w:div>
    <w:div w:id="1233807354">
      <w:bodyDiv w:val="1"/>
      <w:marLeft w:val="0"/>
      <w:marRight w:val="0"/>
      <w:marTop w:val="0"/>
      <w:marBottom w:val="0"/>
      <w:divBdr>
        <w:top w:val="none" w:sz="0" w:space="0" w:color="auto"/>
        <w:left w:val="none" w:sz="0" w:space="0" w:color="auto"/>
        <w:bottom w:val="none" w:sz="0" w:space="0" w:color="auto"/>
        <w:right w:val="none" w:sz="0" w:space="0" w:color="auto"/>
      </w:divBdr>
    </w:div>
    <w:div w:id="1563061957">
      <w:bodyDiv w:val="1"/>
      <w:marLeft w:val="0"/>
      <w:marRight w:val="0"/>
      <w:marTop w:val="0"/>
      <w:marBottom w:val="0"/>
      <w:divBdr>
        <w:top w:val="none" w:sz="0" w:space="0" w:color="auto"/>
        <w:left w:val="none" w:sz="0" w:space="0" w:color="auto"/>
        <w:bottom w:val="none" w:sz="0" w:space="0" w:color="auto"/>
        <w:right w:val="none" w:sz="0" w:space="0" w:color="auto"/>
      </w:divBdr>
    </w:div>
    <w:div w:id="21291617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udiptadey.tirtha@ucf.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veen.eluru@ucf.edu"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Summer%202022\Book%20Chapter\Results%20excel\Result-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62510936132983E-2"/>
          <c:y val="5.0925925925925923E-2"/>
          <c:w val="0.88931933508311456"/>
          <c:h val="0.7005694079906678"/>
        </c:manualLayout>
      </c:layout>
      <c:barChart>
        <c:barDir val="bar"/>
        <c:grouping val="clustered"/>
        <c:varyColors val="0"/>
        <c:ser>
          <c:idx val="0"/>
          <c:order val="0"/>
          <c:tx>
            <c:strRef>
              <c:f>'Sheet6-updated'!$C$2</c:f>
              <c:strCache>
                <c:ptCount val="1"/>
                <c:pt idx="0">
                  <c:v>Population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'Sheet6-updated'!$B$3:$B$8</c:f>
              <c:numCache>
                <c:formatCode>General</c:formatCode>
                <c:ptCount val="6"/>
                <c:pt idx="0">
                  <c:v>1</c:v>
                </c:pt>
                <c:pt idx="1">
                  <c:v>2</c:v>
                </c:pt>
                <c:pt idx="2">
                  <c:v>3</c:v>
                </c:pt>
                <c:pt idx="3">
                  <c:v>4</c:v>
                </c:pt>
                <c:pt idx="4">
                  <c:v>5</c:v>
                </c:pt>
                <c:pt idx="5">
                  <c:v>6</c:v>
                </c:pt>
              </c:numCache>
            </c:numRef>
          </c:cat>
          <c:val>
            <c:numRef>
              <c:f>'Sheet6-updated'!$C$3:$C$8</c:f>
              <c:numCache>
                <c:formatCode>General</c:formatCode>
                <c:ptCount val="6"/>
                <c:pt idx="0">
                  <c:v>-16.554268</c:v>
                </c:pt>
                <c:pt idx="1">
                  <c:v>-11.96382</c:v>
                </c:pt>
                <c:pt idx="2">
                  <c:v>5.4447080999999997</c:v>
                </c:pt>
                <c:pt idx="3">
                  <c:v>2.3524690000000001</c:v>
                </c:pt>
                <c:pt idx="4">
                  <c:v>12.792657</c:v>
                </c:pt>
                <c:pt idx="5">
                  <c:v>5.4256944000000003</c:v>
                </c:pt>
              </c:numCache>
            </c:numRef>
          </c:val>
          <c:extLst>
            <c:ext xmlns:c16="http://schemas.microsoft.com/office/drawing/2014/chart" uri="{C3380CC4-5D6E-409C-BE32-E72D297353CC}">
              <c16:uniqueId val="{00000000-E521-40B1-B4DF-980091F436E4}"/>
            </c:ext>
          </c:extLst>
        </c:ser>
        <c:ser>
          <c:idx val="1"/>
          <c:order val="1"/>
          <c:tx>
            <c:strRef>
              <c:f>'Sheet6-updated'!$D$2</c:f>
              <c:strCache>
                <c:ptCount val="1"/>
                <c:pt idx="0">
                  <c:v>Median Income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numRef>
              <c:f>'Sheet6-updated'!$B$3:$B$8</c:f>
              <c:numCache>
                <c:formatCode>General</c:formatCode>
                <c:ptCount val="6"/>
                <c:pt idx="0">
                  <c:v>1</c:v>
                </c:pt>
                <c:pt idx="1">
                  <c:v>2</c:v>
                </c:pt>
                <c:pt idx="2">
                  <c:v>3</c:v>
                </c:pt>
                <c:pt idx="3">
                  <c:v>4</c:v>
                </c:pt>
                <c:pt idx="4">
                  <c:v>5</c:v>
                </c:pt>
                <c:pt idx="5">
                  <c:v>6</c:v>
                </c:pt>
              </c:numCache>
            </c:numRef>
          </c:cat>
          <c:val>
            <c:numRef>
              <c:f>'Sheet6-updated'!$D$3:$D$8</c:f>
              <c:numCache>
                <c:formatCode>General</c:formatCode>
                <c:ptCount val="6"/>
                <c:pt idx="0">
                  <c:v>-21.667833999999999</c:v>
                </c:pt>
                <c:pt idx="1">
                  <c:v>-8.4996840999999996</c:v>
                </c:pt>
                <c:pt idx="2">
                  <c:v>2.5470622999999999</c:v>
                </c:pt>
                <c:pt idx="3">
                  <c:v>11.497230999999999</c:v>
                </c:pt>
                <c:pt idx="4">
                  <c:v>10.80349</c:v>
                </c:pt>
                <c:pt idx="5">
                  <c:v>2.3173230999999999</c:v>
                </c:pt>
              </c:numCache>
            </c:numRef>
          </c:val>
          <c:extLst>
            <c:ext xmlns:c16="http://schemas.microsoft.com/office/drawing/2014/chart" uri="{C3380CC4-5D6E-409C-BE32-E72D297353CC}">
              <c16:uniqueId val="{00000001-E521-40B1-B4DF-980091F436E4}"/>
            </c:ext>
          </c:extLst>
        </c:ser>
        <c:ser>
          <c:idx val="2"/>
          <c:order val="2"/>
          <c:tx>
            <c:strRef>
              <c:f>'Sheet6-updated'!$E$2</c:f>
              <c:strCache>
                <c:ptCount val="1"/>
                <c:pt idx="0">
                  <c:v>No of airports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numRef>
              <c:f>'Sheet6-updated'!$B$3:$B$8</c:f>
              <c:numCache>
                <c:formatCode>General</c:formatCode>
                <c:ptCount val="6"/>
                <c:pt idx="0">
                  <c:v>1</c:v>
                </c:pt>
                <c:pt idx="1">
                  <c:v>2</c:v>
                </c:pt>
                <c:pt idx="2">
                  <c:v>3</c:v>
                </c:pt>
                <c:pt idx="3">
                  <c:v>4</c:v>
                </c:pt>
                <c:pt idx="4">
                  <c:v>5</c:v>
                </c:pt>
                <c:pt idx="5">
                  <c:v>6</c:v>
                </c:pt>
              </c:numCache>
            </c:numRef>
          </c:cat>
          <c:val>
            <c:numRef>
              <c:f>'Sheet6-updated'!$E$3:$E$8</c:f>
              <c:numCache>
                <c:formatCode>General</c:formatCode>
                <c:ptCount val="6"/>
                <c:pt idx="0">
                  <c:v>-7.5771018000000003</c:v>
                </c:pt>
                <c:pt idx="1">
                  <c:v>-3.2906735999999999</c:v>
                </c:pt>
                <c:pt idx="2">
                  <c:v>0.60173266000000003</c:v>
                </c:pt>
                <c:pt idx="3">
                  <c:v>3.9997010999999998</c:v>
                </c:pt>
                <c:pt idx="4">
                  <c:v>4.1220439999999998</c:v>
                </c:pt>
                <c:pt idx="5">
                  <c:v>1.0732054</c:v>
                </c:pt>
              </c:numCache>
            </c:numRef>
          </c:val>
          <c:extLst>
            <c:ext xmlns:c16="http://schemas.microsoft.com/office/drawing/2014/chart" uri="{C3380CC4-5D6E-409C-BE32-E72D297353CC}">
              <c16:uniqueId val="{00000002-E521-40B1-B4DF-980091F436E4}"/>
            </c:ext>
          </c:extLst>
        </c:ser>
        <c:ser>
          <c:idx val="3"/>
          <c:order val="3"/>
          <c:tx>
            <c:strRef>
              <c:f>'Sheet6-updated'!$F$2</c:f>
              <c:strCache>
                <c:ptCount val="1"/>
                <c:pt idx="0">
                  <c:v>Eduaction status - Low</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cat>
            <c:numRef>
              <c:f>'Sheet6-updated'!$B$3:$B$8</c:f>
              <c:numCache>
                <c:formatCode>General</c:formatCode>
                <c:ptCount val="6"/>
                <c:pt idx="0">
                  <c:v>1</c:v>
                </c:pt>
                <c:pt idx="1">
                  <c:v>2</c:v>
                </c:pt>
                <c:pt idx="2">
                  <c:v>3</c:v>
                </c:pt>
                <c:pt idx="3">
                  <c:v>4</c:v>
                </c:pt>
                <c:pt idx="4">
                  <c:v>5</c:v>
                </c:pt>
                <c:pt idx="5">
                  <c:v>6</c:v>
                </c:pt>
              </c:numCache>
            </c:numRef>
          </c:cat>
          <c:val>
            <c:numRef>
              <c:f>'Sheet6-updated'!$F$3:$F$8</c:f>
              <c:numCache>
                <c:formatCode>General</c:formatCode>
                <c:ptCount val="6"/>
                <c:pt idx="0">
                  <c:v>10.605791999999999</c:v>
                </c:pt>
                <c:pt idx="1">
                  <c:v>1.8131250000000001</c:v>
                </c:pt>
                <c:pt idx="2">
                  <c:v>-2.5591295999999999</c:v>
                </c:pt>
                <c:pt idx="3">
                  <c:v>-4.4406262999999999</c:v>
                </c:pt>
                <c:pt idx="4">
                  <c:v>-3.5993773</c:v>
                </c:pt>
                <c:pt idx="5">
                  <c:v>-0.45825473999999999</c:v>
                </c:pt>
              </c:numCache>
            </c:numRef>
          </c:val>
          <c:extLst>
            <c:ext xmlns:c16="http://schemas.microsoft.com/office/drawing/2014/chart" uri="{C3380CC4-5D6E-409C-BE32-E72D297353CC}">
              <c16:uniqueId val="{00000003-E521-40B1-B4DF-980091F436E4}"/>
            </c:ext>
          </c:extLst>
        </c:ser>
        <c:dLbls>
          <c:showLegendKey val="0"/>
          <c:showVal val="0"/>
          <c:showCatName val="0"/>
          <c:showSerName val="0"/>
          <c:showPercent val="0"/>
          <c:showBubbleSize val="0"/>
        </c:dLbls>
        <c:gapWidth val="100"/>
        <c:axId val="326673320"/>
        <c:axId val="326673976"/>
      </c:barChart>
      <c:catAx>
        <c:axId val="326673320"/>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horndale AMT" panose="02020603050405020304" pitchFamily="18" charset="0"/>
                    <a:ea typeface="+mn-ea"/>
                    <a:cs typeface="Thorndale AMT" panose="02020603050405020304" pitchFamily="18" charset="0"/>
                  </a:defRPr>
                </a:pPr>
                <a:r>
                  <a:rPr lang="en-US"/>
                  <a:t>Alternatives</a:t>
                </a:r>
              </a:p>
            </c:rich>
          </c:tx>
          <c:layout>
            <c:manualLayout>
              <c:xMode val="edge"/>
              <c:yMode val="edge"/>
              <c:x val="1.3888888888888888E-2"/>
              <c:y val="0.28783100029163017"/>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horndale AMT" panose="02020603050405020304" pitchFamily="18" charset="0"/>
                  <a:ea typeface="+mn-ea"/>
                  <a:cs typeface="Thorndale AMT"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horndale AMT" panose="02020603050405020304" pitchFamily="18" charset="0"/>
                <a:ea typeface="+mn-ea"/>
                <a:cs typeface="Thorndale AMT" panose="02020603050405020304" pitchFamily="18" charset="0"/>
              </a:defRPr>
            </a:pPr>
            <a:endParaRPr lang="en-US"/>
          </a:p>
        </c:txPr>
        <c:crossAx val="326673976"/>
        <c:crosses val="autoZero"/>
        <c:auto val="1"/>
        <c:lblAlgn val="ctr"/>
        <c:lblOffset val="100"/>
        <c:noMultiLvlLbl val="0"/>
      </c:catAx>
      <c:valAx>
        <c:axId val="326673976"/>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ysClr val="windowText" lastClr="000000"/>
                    </a:solidFill>
                    <a:latin typeface="Thorndale AMT" panose="02020603050405020304" pitchFamily="18" charset="0"/>
                    <a:ea typeface="+mn-ea"/>
                    <a:cs typeface="Thorndale AMT" panose="02020603050405020304" pitchFamily="18" charset="0"/>
                  </a:defRPr>
                </a:pPr>
                <a:r>
                  <a:rPr lang="en-US"/>
                  <a:t>Percentage change in aggregate probability</a:t>
                </a:r>
              </a:p>
            </c:rich>
          </c:tx>
          <c:layout>
            <c:manualLayout>
              <c:xMode val="edge"/>
              <c:yMode val="edge"/>
              <c:x val="0.27274999999999999"/>
              <c:y val="0.83858632254301546"/>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horndale AMT" panose="02020603050405020304" pitchFamily="18" charset="0"/>
                  <a:ea typeface="+mn-ea"/>
                  <a:cs typeface="Thorndale AMT"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horndale AMT" panose="02020603050405020304" pitchFamily="18" charset="0"/>
                <a:ea typeface="+mn-ea"/>
                <a:cs typeface="Thorndale AMT" panose="02020603050405020304" pitchFamily="18" charset="0"/>
              </a:defRPr>
            </a:pPr>
            <a:endParaRPr lang="en-US"/>
          </a:p>
        </c:txPr>
        <c:crossAx val="326673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horndale AMT" panose="02020603050405020304" pitchFamily="18" charset="0"/>
              <a:ea typeface="+mn-ea"/>
              <a:cs typeface="Thorndale AMT" panose="02020603050405020304" pitchFamily="18" charset="0"/>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solidFill>
            <a:sysClr val="windowText" lastClr="000000"/>
          </a:solidFill>
          <a:latin typeface="Thorndale AMT" panose="02020603050405020304" pitchFamily="18" charset="0"/>
          <a:cs typeface="Thorndale AMT"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FD466-D0BF-4175-9470-0BF023EE4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35444</Words>
  <Characters>225430</Characters>
  <Application>Microsoft Office Word</Application>
  <DocSecurity>0</DocSecurity>
  <Lines>5123</Lines>
  <Paragraphs>2582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Sudipta Tirtha</dc:creator>
  <cp:keywords/>
  <dc:description/>
  <cp:lastModifiedBy>Naveen Eluru</cp:lastModifiedBy>
  <cp:revision>5</cp:revision>
  <cp:lastPrinted>2023-02-03T18:09:00Z</cp:lastPrinted>
  <dcterms:created xsi:type="dcterms:W3CDTF">2025-01-04T13:00:00Z</dcterms:created>
  <dcterms:modified xsi:type="dcterms:W3CDTF">2025-11-06T16:35:00Z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60de3ae3-fa06-3054-8862-b25eccfc2797</vt:lpwstr>
  </property>
  <property fmtid="{D5CDD505-2E9C-101B-9397-08002B2CF9AE}" pid="4" name="Mendeley Citation Style_1">
    <vt:lpwstr>http://www.zotero.org/styles/springer-basic-author-date-no-et-al-with-issue</vt:lpwstr>
  </property>
  <property fmtid="{D5CDD505-2E9C-101B-9397-08002B2CF9AE}" pid="5" name="Mendeley Recent Style Id 0_1">
    <vt:lpwstr>http://csl.mendeley.com/styles/25240771/apa</vt:lpwstr>
  </property>
  <property fmtid="{D5CDD505-2E9C-101B-9397-08002B2CF9AE}" pid="6" name="Mendeley Recent Style Name 0_1">
    <vt:lpwstr>American Psychological Association 6th edition - Jaime Antonio Soza Parra</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(deprecated)</vt:lpwstr>
  </property>
  <property fmtid="{D5CDD505-2E9C-101B-9397-08002B2CF9AE}" pid="13" name="Mendeley Recent Style Id 4_1">
    <vt:lpwstr>http://www.zotero.org/styles/modern-humanities-research-association</vt:lpwstr>
  </property>
  <property fmtid="{D5CDD505-2E9C-101B-9397-08002B2CF9AE}" pid="14" name="Mendeley Recent Style Name 4_1">
    <vt:lpwstr>Modern Humanities Research Association 3rd edition (note with bibliography)</vt:lpwstr>
  </property>
  <property fmtid="{D5CDD505-2E9C-101B-9397-08002B2CF9AE}" pid="15" name="Mendeley Recent Style Id 5_1">
    <vt:lpwstr>http://www.zotero.org/styles/modern-language-association</vt:lpwstr>
  </property>
  <property fmtid="{D5CDD505-2E9C-101B-9397-08002B2CF9AE}" pid="16" name="Mendeley Recent Style Name 5_1">
    <vt:lpwstr>Modern Language Association 8th edition</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http://www.zotero.org/styles/springer-basic-author-date-no-et-al-with-issue</vt:lpwstr>
  </property>
  <property fmtid="{D5CDD505-2E9C-101B-9397-08002B2CF9AE}" pid="20" name="Mendeley Recent Style Name 7_1">
    <vt:lpwstr>Springer - Basic (author-date, no "et al.", with issue numbers)</vt:lpwstr>
  </property>
  <property fmtid="{D5CDD505-2E9C-101B-9397-08002B2CF9AE}" pid="21" name="Mendeley Recent Style Id 8_1">
    <vt:lpwstr>http://www.zotero.org/styles/transportation-research-record</vt:lpwstr>
  </property>
  <property fmtid="{D5CDD505-2E9C-101B-9397-08002B2CF9AE}" pid="22" name="Mendeley Recent Style Name 8_1">
    <vt:lpwstr>Transportation Research Record: Journal of the Transportation Research Board</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