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A1F5A" w14:textId="114EC407" w:rsidR="00D57221" w:rsidRPr="00CB38CA" w:rsidRDefault="00D57221" w:rsidP="00EB5197">
      <w:pPr>
        <w:jc w:val="left"/>
        <w:rPr>
          <w:b/>
          <w:bCs/>
          <w:sz w:val="28"/>
          <w:szCs w:val="24"/>
        </w:rPr>
      </w:pPr>
      <w:r w:rsidRPr="00CB38CA">
        <w:rPr>
          <w:b/>
          <w:bCs/>
          <w:sz w:val="28"/>
          <w:szCs w:val="24"/>
        </w:rPr>
        <w:t xml:space="preserve">Exploring </w:t>
      </w:r>
      <w:r>
        <w:rPr>
          <w:b/>
          <w:bCs/>
          <w:sz w:val="28"/>
          <w:szCs w:val="24"/>
        </w:rPr>
        <w:t>t</w:t>
      </w:r>
      <w:r w:rsidRPr="00CB38CA">
        <w:rPr>
          <w:b/>
          <w:bCs/>
          <w:sz w:val="28"/>
          <w:szCs w:val="24"/>
        </w:rPr>
        <w:t xml:space="preserve">he Relationship Between COVID-19 Transmission </w:t>
      </w:r>
      <w:r>
        <w:rPr>
          <w:b/>
          <w:bCs/>
          <w:sz w:val="28"/>
          <w:szCs w:val="24"/>
        </w:rPr>
        <w:t>a</w:t>
      </w:r>
      <w:r w:rsidRPr="00CB38CA">
        <w:rPr>
          <w:b/>
          <w:bCs/>
          <w:sz w:val="28"/>
          <w:szCs w:val="24"/>
        </w:rPr>
        <w:t xml:space="preserve">nd </w:t>
      </w:r>
      <w:r>
        <w:rPr>
          <w:b/>
          <w:bCs/>
          <w:sz w:val="28"/>
          <w:szCs w:val="24"/>
        </w:rPr>
        <w:t xml:space="preserve">Population </w:t>
      </w:r>
      <w:r w:rsidRPr="00CB38CA">
        <w:rPr>
          <w:b/>
          <w:bCs/>
          <w:sz w:val="28"/>
          <w:szCs w:val="24"/>
        </w:rPr>
        <w:t>Mobility</w:t>
      </w:r>
      <w:r>
        <w:rPr>
          <w:b/>
          <w:bCs/>
          <w:sz w:val="28"/>
          <w:szCs w:val="24"/>
        </w:rPr>
        <w:t xml:space="preserve"> over Time</w:t>
      </w:r>
    </w:p>
    <w:p w14:paraId="71B573C4" w14:textId="77777777" w:rsidR="00D57221" w:rsidRDefault="00D57221" w:rsidP="00EB5197">
      <w:pPr>
        <w:rPr>
          <w:rFonts w:cs="Times New Roman"/>
          <w:szCs w:val="24"/>
        </w:rPr>
      </w:pPr>
    </w:p>
    <w:p w14:paraId="592725F4" w14:textId="77777777" w:rsidR="00D57221" w:rsidRPr="00036663" w:rsidRDefault="00D57221" w:rsidP="00EB5197">
      <w:pPr>
        <w:rPr>
          <w:rFonts w:cs="Times New Roman"/>
          <w:szCs w:val="24"/>
        </w:rPr>
      </w:pPr>
    </w:p>
    <w:p w14:paraId="758E79EE" w14:textId="77777777" w:rsidR="00D57221" w:rsidRPr="00036663" w:rsidRDefault="00D57221" w:rsidP="00EB5197">
      <w:pPr>
        <w:tabs>
          <w:tab w:val="left" w:pos="3495"/>
        </w:tabs>
        <w:rPr>
          <w:rFonts w:cs="Times New Roman"/>
          <w:b/>
          <w:bCs/>
          <w:szCs w:val="24"/>
        </w:rPr>
      </w:pPr>
      <w:r w:rsidRPr="00036663">
        <w:rPr>
          <w:rFonts w:cs="Times New Roman"/>
          <w:b/>
          <w:bCs/>
          <w:szCs w:val="24"/>
        </w:rPr>
        <w:t>Tanmoy Bhowmik</w:t>
      </w:r>
      <w:r>
        <w:rPr>
          <w:rFonts w:cs="Times New Roman"/>
          <w:b/>
          <w:bCs/>
          <w:szCs w:val="24"/>
        </w:rPr>
        <w:t>*</w:t>
      </w:r>
    </w:p>
    <w:p w14:paraId="7AEDD6CD" w14:textId="77777777" w:rsidR="003F442A" w:rsidRPr="003F442A" w:rsidRDefault="003F442A" w:rsidP="003F442A">
      <w:pPr>
        <w:tabs>
          <w:tab w:val="left" w:pos="3495"/>
        </w:tabs>
        <w:rPr>
          <w:rFonts w:cs="Times New Roman"/>
          <w:szCs w:val="24"/>
        </w:rPr>
      </w:pPr>
      <w:r w:rsidRPr="003F442A">
        <w:rPr>
          <w:rFonts w:cs="Times New Roman"/>
          <w:szCs w:val="24"/>
        </w:rPr>
        <w:t>Assistant Professor</w:t>
      </w:r>
    </w:p>
    <w:p w14:paraId="3D97D6A5" w14:textId="002C4B47" w:rsidR="003F442A" w:rsidRPr="003F442A" w:rsidRDefault="003F442A" w:rsidP="003F442A">
      <w:pPr>
        <w:tabs>
          <w:tab w:val="left" w:pos="3495"/>
        </w:tabs>
        <w:rPr>
          <w:rFonts w:cs="Times New Roman"/>
          <w:szCs w:val="24"/>
        </w:rPr>
      </w:pPr>
      <w:r w:rsidRPr="00036663">
        <w:rPr>
          <w:rFonts w:cs="Times New Roman"/>
          <w:szCs w:val="24"/>
        </w:rPr>
        <w:t>Department</w:t>
      </w:r>
      <w:r w:rsidRPr="003F442A">
        <w:rPr>
          <w:rFonts w:cs="Times New Roman"/>
          <w:szCs w:val="24"/>
        </w:rPr>
        <w:t xml:space="preserve"> of Civil and Environmental Engineering</w:t>
      </w:r>
    </w:p>
    <w:p w14:paraId="2C288833" w14:textId="77777777" w:rsidR="003F442A" w:rsidRPr="003F442A" w:rsidRDefault="003F442A" w:rsidP="003F442A">
      <w:pPr>
        <w:tabs>
          <w:tab w:val="left" w:pos="3495"/>
        </w:tabs>
        <w:rPr>
          <w:rFonts w:cs="Times New Roman"/>
          <w:szCs w:val="24"/>
        </w:rPr>
      </w:pPr>
      <w:r w:rsidRPr="003F442A">
        <w:rPr>
          <w:rFonts w:cs="Times New Roman"/>
          <w:szCs w:val="24"/>
        </w:rPr>
        <w:t>Portland State University</w:t>
      </w:r>
    </w:p>
    <w:p w14:paraId="2EB037AB" w14:textId="6A9C1018" w:rsidR="003F442A" w:rsidRDefault="003F442A" w:rsidP="003F442A">
      <w:pPr>
        <w:tabs>
          <w:tab w:val="left" w:pos="3495"/>
        </w:tabs>
        <w:rPr>
          <w:rFonts w:cs="Times New Roman"/>
          <w:szCs w:val="24"/>
        </w:rPr>
      </w:pPr>
      <w:r w:rsidRPr="003F442A">
        <w:rPr>
          <w:rFonts w:cs="Times New Roman"/>
          <w:szCs w:val="24"/>
        </w:rPr>
        <w:t xml:space="preserve">Email: </w:t>
      </w:r>
      <w:hyperlink r:id="rId11" w:history="1">
        <w:r w:rsidRPr="00D72E16">
          <w:rPr>
            <w:rStyle w:val="Hyperlink"/>
            <w:rFonts w:cs="Times New Roman"/>
            <w:szCs w:val="24"/>
          </w:rPr>
          <w:t>tbhowmik@pdx.edu</w:t>
        </w:r>
      </w:hyperlink>
      <w:r>
        <w:rPr>
          <w:rFonts w:cs="Times New Roman"/>
          <w:szCs w:val="24"/>
        </w:rPr>
        <w:t xml:space="preserve"> </w:t>
      </w:r>
      <w:r w:rsidRPr="003F442A">
        <w:rPr>
          <w:rFonts w:cs="Times New Roman"/>
          <w:szCs w:val="24"/>
        </w:rPr>
        <w:t xml:space="preserve"> </w:t>
      </w:r>
    </w:p>
    <w:p w14:paraId="0F9FB7BE" w14:textId="284D0B1E" w:rsidR="00D57221" w:rsidRPr="00036663" w:rsidRDefault="00D57221" w:rsidP="003F442A">
      <w:pPr>
        <w:tabs>
          <w:tab w:val="left" w:pos="3495"/>
        </w:tabs>
        <w:rPr>
          <w:rFonts w:cs="Times New Roman"/>
          <w:szCs w:val="24"/>
        </w:rPr>
      </w:pPr>
      <w:r w:rsidRPr="00036663">
        <w:rPr>
          <w:rFonts w:cs="Times New Roman"/>
          <w:szCs w:val="24"/>
        </w:rPr>
        <w:t xml:space="preserve">Tel: 1-407-927-6574, Fax: 1-407-823-3315 </w:t>
      </w:r>
    </w:p>
    <w:p w14:paraId="4C7AD28B" w14:textId="77777777" w:rsidR="00D57221" w:rsidRDefault="00D57221" w:rsidP="00EB5197">
      <w:pPr>
        <w:rPr>
          <w:rFonts w:ascii="Arial" w:hAnsi="Arial" w:cs="Arial"/>
          <w:color w:val="494A4C"/>
          <w:sz w:val="23"/>
          <w:szCs w:val="23"/>
          <w:shd w:val="clear" w:color="auto" w:fill="FFFFFF"/>
        </w:rPr>
      </w:pPr>
      <w:proofErr w:type="spellStart"/>
      <w:r w:rsidRPr="00724447">
        <w:rPr>
          <w:rFonts w:cs="Times New Roman"/>
        </w:rPr>
        <w:t>ORCiD</w:t>
      </w:r>
      <w:proofErr w:type="spellEnd"/>
      <w:r w:rsidRPr="00724447">
        <w:rPr>
          <w:rFonts w:cs="Times New Roman"/>
        </w:rPr>
        <w:t xml:space="preserve"> number:</w:t>
      </w:r>
      <w:r>
        <w:rPr>
          <w:rFonts w:cs="Times New Roman"/>
        </w:rPr>
        <w:t xml:space="preserve"> </w:t>
      </w:r>
      <w:r w:rsidRPr="00D9595E">
        <w:rPr>
          <w:rFonts w:cs="Times New Roman"/>
        </w:rPr>
        <w:t>0000-0002-0258-1692</w:t>
      </w:r>
    </w:p>
    <w:p w14:paraId="1EEBFCAF" w14:textId="77777777" w:rsidR="00D57221" w:rsidRDefault="00D57221" w:rsidP="00EB5197">
      <w:pPr>
        <w:rPr>
          <w:rFonts w:cs="Times New Roman"/>
          <w:szCs w:val="24"/>
        </w:rPr>
      </w:pPr>
    </w:p>
    <w:p w14:paraId="5E498569" w14:textId="77777777" w:rsidR="00D57221" w:rsidRPr="00036663" w:rsidRDefault="00D57221" w:rsidP="00EB5197">
      <w:pPr>
        <w:rPr>
          <w:rFonts w:cs="Times New Roman"/>
          <w:szCs w:val="24"/>
        </w:rPr>
      </w:pPr>
    </w:p>
    <w:p w14:paraId="4590040E" w14:textId="77777777" w:rsidR="00D57221" w:rsidRPr="00036663" w:rsidRDefault="00D57221" w:rsidP="00EB5197">
      <w:pPr>
        <w:rPr>
          <w:rFonts w:cs="Times New Roman"/>
          <w:b/>
          <w:bCs/>
          <w:szCs w:val="24"/>
        </w:rPr>
      </w:pPr>
      <w:r w:rsidRPr="00036663">
        <w:rPr>
          <w:rFonts w:cs="Times New Roman"/>
          <w:b/>
          <w:bCs/>
          <w:szCs w:val="24"/>
        </w:rPr>
        <w:t>Naveen Eluru</w:t>
      </w:r>
    </w:p>
    <w:p w14:paraId="40F8710A" w14:textId="2CD5E9E2" w:rsidR="00D57221" w:rsidRPr="00036663" w:rsidRDefault="00D57221" w:rsidP="00EB5197">
      <w:pPr>
        <w:rPr>
          <w:rFonts w:cs="Times New Roman"/>
          <w:szCs w:val="24"/>
        </w:rPr>
      </w:pPr>
      <w:r w:rsidRPr="00036663">
        <w:rPr>
          <w:rFonts w:cs="Times New Roman"/>
          <w:szCs w:val="24"/>
        </w:rPr>
        <w:t>Professor</w:t>
      </w:r>
    </w:p>
    <w:p w14:paraId="16157250" w14:textId="77777777" w:rsidR="00D57221" w:rsidRPr="00036663" w:rsidRDefault="00D57221" w:rsidP="00EB5197">
      <w:pPr>
        <w:rPr>
          <w:rFonts w:cs="Times New Roman"/>
          <w:szCs w:val="24"/>
        </w:rPr>
      </w:pPr>
      <w:r w:rsidRPr="00036663">
        <w:rPr>
          <w:rFonts w:cs="Times New Roman"/>
          <w:szCs w:val="24"/>
        </w:rPr>
        <w:t>Department of Civil, Environmental &amp; Construction Engineering</w:t>
      </w:r>
    </w:p>
    <w:p w14:paraId="4FCF2D32" w14:textId="77777777" w:rsidR="00D57221" w:rsidRPr="00036663" w:rsidRDefault="00D57221" w:rsidP="00EB5197">
      <w:pPr>
        <w:rPr>
          <w:rFonts w:cs="Times New Roman"/>
          <w:szCs w:val="24"/>
        </w:rPr>
      </w:pPr>
      <w:r w:rsidRPr="00036663">
        <w:rPr>
          <w:rFonts w:cs="Times New Roman"/>
          <w:szCs w:val="24"/>
        </w:rPr>
        <w:t>University of Central Florida</w:t>
      </w:r>
    </w:p>
    <w:p w14:paraId="5A05B19A" w14:textId="77777777" w:rsidR="00D57221" w:rsidRPr="00036663" w:rsidRDefault="00D57221" w:rsidP="00EB5197">
      <w:pPr>
        <w:rPr>
          <w:rFonts w:cs="Times New Roman"/>
          <w:szCs w:val="24"/>
        </w:rPr>
      </w:pPr>
      <w:r w:rsidRPr="00036663">
        <w:rPr>
          <w:rFonts w:cs="Times New Roman"/>
          <w:szCs w:val="24"/>
        </w:rPr>
        <w:t>Tel: 407-823-4815, Fax: 407-823-3315</w:t>
      </w:r>
    </w:p>
    <w:p w14:paraId="277B4401" w14:textId="77777777" w:rsidR="00D57221" w:rsidRPr="00036663" w:rsidRDefault="00D57221" w:rsidP="00EB5197">
      <w:pPr>
        <w:rPr>
          <w:rStyle w:val="Hyperlink"/>
          <w:rFonts w:cs="Times New Roman"/>
          <w:szCs w:val="24"/>
        </w:rPr>
      </w:pPr>
      <w:r w:rsidRPr="00036663">
        <w:rPr>
          <w:rFonts w:cs="Times New Roman"/>
          <w:szCs w:val="24"/>
        </w:rPr>
        <w:t xml:space="preserve">Email: </w:t>
      </w:r>
      <w:hyperlink r:id="rId12" w:history="1">
        <w:r w:rsidRPr="00036663">
          <w:rPr>
            <w:rStyle w:val="Hyperlink"/>
            <w:rFonts w:cs="Times New Roman"/>
            <w:szCs w:val="24"/>
          </w:rPr>
          <w:t>naveen.eluru@ucf.edu</w:t>
        </w:r>
      </w:hyperlink>
    </w:p>
    <w:p w14:paraId="3EEC92C9" w14:textId="77777777" w:rsidR="00D57221" w:rsidRDefault="00D57221" w:rsidP="00EB5197">
      <w:pPr>
        <w:rPr>
          <w:rStyle w:val="Hyperlink"/>
          <w:szCs w:val="24"/>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14C7FA3F" w14:textId="77777777" w:rsidR="00D57221" w:rsidRDefault="00D57221" w:rsidP="00EB5197">
      <w:pPr>
        <w:rPr>
          <w:rStyle w:val="Hyperlink"/>
          <w:rFonts w:cs="Times New Roman"/>
          <w:szCs w:val="24"/>
        </w:rPr>
      </w:pPr>
    </w:p>
    <w:p w14:paraId="56D7F277" w14:textId="77777777" w:rsidR="00D57221" w:rsidRPr="00036663" w:rsidRDefault="00D57221" w:rsidP="00EB5197">
      <w:pPr>
        <w:rPr>
          <w:rStyle w:val="Hyperlink"/>
          <w:rFonts w:cs="Times New Roman"/>
          <w:szCs w:val="24"/>
        </w:rPr>
      </w:pPr>
    </w:p>
    <w:p w14:paraId="357DA62F" w14:textId="1E519777" w:rsidR="00D57221" w:rsidRPr="00036663" w:rsidRDefault="00D57221" w:rsidP="00EB5197">
      <w:pPr>
        <w:rPr>
          <w:rFonts w:eastAsia="Times New Roman" w:cs="Times New Roman"/>
          <w:szCs w:val="24"/>
          <w:lang w:val="en-CA"/>
        </w:rPr>
      </w:pPr>
      <w:r w:rsidRPr="000E434B">
        <w:rPr>
          <w:rFonts w:eastAsia="Times New Roman" w:cs="Times New Roman"/>
          <w:szCs w:val="24"/>
          <w:lang w:val="en-CA"/>
        </w:rPr>
        <w:t xml:space="preserve">Date: </w:t>
      </w:r>
      <w:r w:rsidR="000E434B" w:rsidRPr="000E434B">
        <w:rPr>
          <w:rFonts w:eastAsia="Times New Roman" w:cs="Times New Roman"/>
          <w:szCs w:val="24"/>
          <w:lang w:val="en-CA"/>
        </w:rPr>
        <w:t>May</w:t>
      </w:r>
      <w:r w:rsidRPr="000E434B">
        <w:rPr>
          <w:rFonts w:eastAsia="Times New Roman" w:cs="Times New Roman"/>
          <w:szCs w:val="24"/>
          <w:lang w:val="en-CA"/>
        </w:rPr>
        <w:t xml:space="preserve"> 1</w:t>
      </w:r>
      <w:r w:rsidR="000E434B" w:rsidRPr="000E434B">
        <w:rPr>
          <w:rFonts w:eastAsia="Times New Roman" w:cs="Times New Roman"/>
          <w:szCs w:val="24"/>
          <w:lang w:val="en-CA"/>
        </w:rPr>
        <w:t>4</w:t>
      </w:r>
      <w:r w:rsidRPr="000E434B">
        <w:rPr>
          <w:rFonts w:eastAsia="Times New Roman" w:cs="Times New Roman"/>
          <w:szCs w:val="24"/>
          <w:lang w:val="en-CA"/>
        </w:rPr>
        <w:t xml:space="preserve">, </w:t>
      </w:r>
      <w:r w:rsidR="00B3574E" w:rsidRPr="000E434B">
        <w:rPr>
          <w:rFonts w:eastAsia="Times New Roman" w:cs="Times New Roman"/>
          <w:szCs w:val="24"/>
          <w:lang w:val="en-CA"/>
        </w:rPr>
        <w:t>202</w:t>
      </w:r>
      <w:r w:rsidR="000E434B" w:rsidRPr="000E434B">
        <w:rPr>
          <w:rFonts w:eastAsia="Times New Roman" w:cs="Times New Roman"/>
          <w:szCs w:val="24"/>
          <w:lang w:val="en-CA"/>
        </w:rPr>
        <w:t>4</w:t>
      </w:r>
    </w:p>
    <w:p w14:paraId="305D2295" w14:textId="77777777" w:rsidR="00D57221" w:rsidRPr="00036663" w:rsidRDefault="00D57221" w:rsidP="00EB5197">
      <w:pPr>
        <w:rPr>
          <w:rFonts w:eastAsia="Times New Roman" w:cs="Times New Roman"/>
          <w:b/>
          <w:szCs w:val="24"/>
          <w:lang w:val="en-CA"/>
        </w:rPr>
      </w:pPr>
    </w:p>
    <w:p w14:paraId="37A7BDF8" w14:textId="77777777" w:rsidR="00D57221" w:rsidRPr="00036663" w:rsidRDefault="00D57221" w:rsidP="00EB5197">
      <w:pPr>
        <w:rPr>
          <w:rFonts w:eastAsia="Times New Roman" w:cs="Times New Roman"/>
          <w:szCs w:val="24"/>
          <w:lang w:val="en-CA"/>
        </w:rPr>
      </w:pPr>
    </w:p>
    <w:p w14:paraId="392FAD29" w14:textId="1FA80D8A" w:rsidR="00D57221" w:rsidRDefault="00D57221" w:rsidP="00EB5197">
      <w:pPr>
        <w:rPr>
          <w:rFonts w:cs="Times New Roman"/>
          <w:b/>
          <w:szCs w:val="24"/>
          <w:u w:val="single"/>
        </w:rPr>
      </w:pPr>
      <w:r w:rsidRPr="00036663">
        <w:rPr>
          <w:rFonts w:eastAsia="Times New Roman" w:cs="Times New Roman"/>
          <w:szCs w:val="24"/>
          <w:lang w:val="en-CA"/>
        </w:rPr>
        <w:t xml:space="preserve">Submitted to: </w:t>
      </w:r>
      <w:r w:rsidR="006B59C6" w:rsidRPr="006B59C6">
        <w:rPr>
          <w:rFonts w:eastAsia="Times New Roman" w:cs="Times New Roman"/>
          <w:szCs w:val="24"/>
          <w:lang w:val="en-CA"/>
        </w:rPr>
        <w:t>Special Collection on</w:t>
      </w:r>
      <w:r w:rsidR="00551130" w:rsidRPr="00551130">
        <w:rPr>
          <w:rFonts w:cs="Times New Roman"/>
          <w:szCs w:val="24"/>
        </w:rPr>
        <w:t xml:space="preserve">Telecommuting and working from home: effects of Covid-19 pandemic on </w:t>
      </w:r>
      <w:r w:rsidR="00A86C34" w:rsidRPr="00551130">
        <w:rPr>
          <w:rFonts w:cs="Times New Roman"/>
          <w:szCs w:val="24"/>
        </w:rPr>
        <w:t>mobility.</w:t>
      </w:r>
    </w:p>
    <w:p w14:paraId="7512BE1B" w14:textId="77777777" w:rsidR="00D57221" w:rsidRPr="00036663" w:rsidRDefault="00D57221" w:rsidP="00EB5197">
      <w:pPr>
        <w:rPr>
          <w:rFonts w:eastAsia="Times New Roman" w:cs="Times New Roman"/>
          <w:b/>
          <w:szCs w:val="24"/>
          <w:u w:val="single"/>
          <w:lang w:val="en-CA"/>
        </w:rPr>
      </w:pPr>
    </w:p>
    <w:p w14:paraId="7A1844E0" w14:textId="77777777" w:rsidR="00D57221" w:rsidRPr="00036663" w:rsidRDefault="00D57221" w:rsidP="00EB5197">
      <w:pPr>
        <w:rPr>
          <w:rFonts w:eastAsia="Times New Roman" w:cs="Times New Roman"/>
          <w:color w:val="000000"/>
          <w:lang w:val="en-CA"/>
        </w:rPr>
      </w:pPr>
    </w:p>
    <w:p w14:paraId="10172D01" w14:textId="56DF4FA3" w:rsidR="00D57221" w:rsidRDefault="002E4C6B" w:rsidP="00EB5197">
      <w:r w:rsidRPr="00B06893">
        <w:rPr>
          <w:rFonts w:cs="Times New Roman"/>
          <w:b/>
          <w:bCs/>
          <w:szCs w:val="24"/>
        </w:rPr>
        <w:t xml:space="preserve">Keywords: </w:t>
      </w:r>
      <w:r w:rsidRPr="000C211C">
        <w:t>COVID-19 transmission, mobility pattern</w:t>
      </w:r>
      <w:r>
        <w:t>s</w:t>
      </w:r>
      <w:r w:rsidRPr="000C211C">
        <w:t xml:space="preserve">, bi-directional relationship, </w:t>
      </w:r>
      <w:r>
        <w:t>s</w:t>
      </w:r>
      <w:r w:rsidRPr="000C211C">
        <w:t>imultaneous model</w:t>
      </w:r>
    </w:p>
    <w:p w14:paraId="389A1EF6" w14:textId="77777777" w:rsidR="002E4C6B" w:rsidRDefault="002E4C6B" w:rsidP="00EB5197"/>
    <w:p w14:paraId="4AFDDBAF" w14:textId="77777777" w:rsidR="002E4C6B" w:rsidRDefault="002E4C6B" w:rsidP="00EB5197"/>
    <w:p w14:paraId="09787123" w14:textId="77777777" w:rsidR="002E4C6B" w:rsidRDefault="002E4C6B" w:rsidP="00EB5197"/>
    <w:p w14:paraId="5EB4528D" w14:textId="77777777" w:rsidR="002E4C6B" w:rsidRDefault="002E4C6B" w:rsidP="00EB5197"/>
    <w:p w14:paraId="58E1C8AC" w14:textId="6FD2B16F" w:rsidR="002E4C6B" w:rsidRDefault="00A0223F" w:rsidP="00EB5197">
      <w:pPr>
        <w:rPr>
          <w:rFonts w:eastAsia="Times New Roman" w:cs="Times New Roman"/>
          <w:color w:val="000000"/>
          <w:lang w:val="en-CA"/>
        </w:rPr>
      </w:pPr>
      <w:r>
        <w:rPr>
          <w:rFonts w:eastAsia="Times New Roman" w:cs="Times New Roman"/>
          <w:color w:val="000000"/>
          <w:lang w:val="en-CA"/>
        </w:rPr>
        <w:t>Conflict of Interest: None</w:t>
      </w:r>
    </w:p>
    <w:p w14:paraId="64263AEE" w14:textId="77777777" w:rsidR="00D57221" w:rsidRDefault="00D57221" w:rsidP="00EB5197">
      <w:pPr>
        <w:rPr>
          <w:rFonts w:eastAsia="Times New Roman" w:cs="Times New Roman"/>
          <w:color w:val="000000"/>
          <w:lang w:val="en-CA"/>
        </w:rPr>
      </w:pPr>
    </w:p>
    <w:p w14:paraId="44E223B5" w14:textId="77777777" w:rsidR="002E4C6B" w:rsidRDefault="002E4C6B" w:rsidP="00EB5197">
      <w:pPr>
        <w:rPr>
          <w:rFonts w:eastAsia="Times New Roman" w:cs="Times New Roman"/>
          <w:color w:val="000000"/>
          <w:lang w:val="en-CA"/>
        </w:rPr>
      </w:pPr>
    </w:p>
    <w:p w14:paraId="7AFB8830" w14:textId="77777777" w:rsidR="002E4C6B" w:rsidRDefault="002E4C6B" w:rsidP="00EB5197">
      <w:pPr>
        <w:rPr>
          <w:rFonts w:eastAsia="Times New Roman" w:cs="Times New Roman"/>
          <w:color w:val="000000"/>
          <w:lang w:val="en-CA"/>
        </w:rPr>
      </w:pPr>
    </w:p>
    <w:p w14:paraId="1F7917A1" w14:textId="77777777" w:rsidR="002E4C6B" w:rsidRDefault="002E4C6B" w:rsidP="00EB5197">
      <w:pPr>
        <w:rPr>
          <w:rFonts w:eastAsia="Times New Roman" w:cs="Times New Roman"/>
          <w:color w:val="000000"/>
          <w:lang w:val="en-CA"/>
        </w:rPr>
      </w:pPr>
    </w:p>
    <w:p w14:paraId="60745C93" w14:textId="77777777" w:rsidR="002E4C6B" w:rsidRDefault="002E4C6B" w:rsidP="00EB5197">
      <w:pPr>
        <w:rPr>
          <w:rFonts w:eastAsia="Times New Roman" w:cs="Times New Roman"/>
          <w:color w:val="000000"/>
          <w:lang w:val="en-CA"/>
        </w:rPr>
      </w:pPr>
    </w:p>
    <w:p w14:paraId="33ADCCD0" w14:textId="77777777" w:rsidR="002E4C6B" w:rsidRDefault="002E4C6B" w:rsidP="00EB5197">
      <w:pPr>
        <w:rPr>
          <w:rFonts w:eastAsia="Times New Roman" w:cs="Times New Roman"/>
          <w:color w:val="000000"/>
          <w:lang w:val="en-CA"/>
        </w:rPr>
      </w:pPr>
    </w:p>
    <w:p w14:paraId="58E96F41" w14:textId="77777777" w:rsidR="002E4C6B" w:rsidRDefault="002E4C6B" w:rsidP="00EB5197">
      <w:pPr>
        <w:rPr>
          <w:rFonts w:eastAsia="Times New Roman" w:cs="Times New Roman"/>
          <w:color w:val="000000"/>
          <w:lang w:val="en-CA"/>
        </w:rPr>
      </w:pPr>
    </w:p>
    <w:p w14:paraId="1C3BA1F0" w14:textId="77777777" w:rsidR="002E4C6B" w:rsidRDefault="002E4C6B" w:rsidP="00EB5197">
      <w:pPr>
        <w:rPr>
          <w:rFonts w:eastAsia="Times New Roman" w:cs="Times New Roman"/>
          <w:color w:val="000000"/>
          <w:lang w:val="en-CA"/>
        </w:rPr>
      </w:pPr>
    </w:p>
    <w:p w14:paraId="414259B3" w14:textId="77777777" w:rsidR="002E4C6B" w:rsidRPr="00036663" w:rsidRDefault="002E4C6B" w:rsidP="00EB5197">
      <w:pPr>
        <w:rPr>
          <w:rFonts w:eastAsia="Times New Roman" w:cs="Times New Roman"/>
          <w:color w:val="000000"/>
          <w:lang w:val="en-CA"/>
        </w:rPr>
      </w:pPr>
    </w:p>
    <w:p w14:paraId="29AFA5D0" w14:textId="77777777" w:rsidR="00D57221" w:rsidRPr="00036663" w:rsidRDefault="00D57221" w:rsidP="00EB5197">
      <w:pPr>
        <w:pBdr>
          <w:top w:val="single" w:sz="4" w:space="1" w:color="auto"/>
        </w:pBdr>
        <w:rPr>
          <w:rFonts w:eastAsia="Times New Roman" w:cs="Times New Roman"/>
          <w:szCs w:val="24"/>
          <w:lang w:val="en-CA"/>
        </w:rPr>
      </w:pPr>
      <w:r w:rsidRPr="00036663">
        <w:rPr>
          <w:rFonts w:eastAsia="Times New Roman" w:cs="Times New Roman"/>
          <w:szCs w:val="24"/>
          <w:lang w:val="en-CA"/>
        </w:rPr>
        <w:t>*Corresponding author</w:t>
      </w:r>
    </w:p>
    <w:p w14:paraId="098A4703" w14:textId="77777777" w:rsidR="00EF4541" w:rsidRDefault="00EF4541" w:rsidP="00EB5197">
      <w:pPr>
        <w:autoSpaceDE w:val="0"/>
        <w:autoSpaceDN w:val="0"/>
        <w:adjustRightInd w:val="0"/>
        <w:spacing w:line="288" w:lineRule="auto"/>
        <w:jc w:val="left"/>
        <w:rPr>
          <w:rFonts w:cs="Times New Roman"/>
          <w:b/>
          <w:szCs w:val="24"/>
        </w:rPr>
        <w:sectPr w:rsidR="00EF4541" w:rsidSect="00130DFC">
          <w:footerReference w:type="default" r:id="rId13"/>
          <w:pgSz w:w="12240" w:h="15840"/>
          <w:pgMar w:top="1440" w:right="1440" w:bottom="1440" w:left="1440" w:header="720" w:footer="720" w:gutter="0"/>
          <w:lnNumType w:countBy="1"/>
          <w:cols w:space="720"/>
          <w:docGrid w:linePitch="360"/>
        </w:sectPr>
      </w:pPr>
    </w:p>
    <w:p w14:paraId="12C3D353" w14:textId="744D64ED" w:rsidR="006A3F83" w:rsidRDefault="006A3F83" w:rsidP="00EB5197">
      <w:pPr>
        <w:pStyle w:val="Heading1"/>
      </w:pPr>
      <w:r w:rsidRPr="006A3F83">
        <w:lastRenderedPageBreak/>
        <w:t>ABSTRACT</w:t>
      </w:r>
    </w:p>
    <w:p w14:paraId="1858E333" w14:textId="01D42E56" w:rsidR="007959E6" w:rsidRPr="0064303C" w:rsidRDefault="007959E6" w:rsidP="00EB5197">
      <w:pPr>
        <w:rPr>
          <w:color w:val="FF0000"/>
        </w:rPr>
      </w:pPr>
      <w:r w:rsidRPr="007959E6">
        <w:t xml:space="preserve">This study explores the dynamic relationship between COVID-19 transmission and transportation mobility, with an emphasis on understanding </w:t>
      </w:r>
      <w:r w:rsidR="00866D90">
        <w:t>the time varying</w:t>
      </w:r>
      <w:r w:rsidRPr="007959E6">
        <w:t xml:space="preserve"> bi-directional </w:t>
      </w:r>
      <w:r w:rsidR="00866D90">
        <w:t>interplay across the different phases of the pandemic</w:t>
      </w:r>
      <w:r w:rsidRPr="007959E6">
        <w:t>. To gain insight into this relationship, we analyzed county-level data</w:t>
      </w:r>
      <w:r w:rsidR="00BE2551">
        <w:t xml:space="preserve"> on transmission and mobility patterns</w:t>
      </w:r>
      <w:r w:rsidRPr="007959E6">
        <w:t xml:space="preserve"> from the US over a </w:t>
      </w:r>
      <w:r w:rsidR="005F1C86">
        <w:t>7</w:t>
      </w:r>
      <w:r w:rsidR="00914EF5">
        <w:t>4</w:t>
      </w:r>
      <w:r w:rsidR="005F1C86">
        <w:t>-week</w:t>
      </w:r>
      <w:r w:rsidRPr="007959E6">
        <w:t xml:space="preserve"> period using a comprehensive list of factors including</w:t>
      </w:r>
      <w:r w:rsidR="00BE2551">
        <w:t xml:space="preserve"> </w:t>
      </w:r>
      <w:r w:rsidR="00BE2551" w:rsidRPr="008D27B0">
        <w:rPr>
          <w:rFonts w:cs="Times New Roman"/>
          <w:szCs w:val="24"/>
        </w:rPr>
        <w:t xml:space="preserve">(a) temporal factors, </w:t>
      </w:r>
      <w:r w:rsidR="00BE2551" w:rsidRPr="008D27B0">
        <w:rPr>
          <w:rFonts w:eastAsia="Calibri" w:cs="Times New Roman"/>
          <w:szCs w:val="24"/>
          <w:lang w:eastAsia="ko-KR"/>
        </w:rPr>
        <w:t>(</w:t>
      </w:r>
      <w:r w:rsidR="00BE2551" w:rsidRPr="008D27B0">
        <w:rPr>
          <w:rFonts w:cs="Times New Roman"/>
          <w:szCs w:val="24"/>
        </w:rPr>
        <w:t>b) socio-demographics, (c) health indicators,</w:t>
      </w:r>
      <w:r w:rsidR="00BE2551" w:rsidRPr="008D27B0">
        <w:rPr>
          <w:rFonts w:eastAsia="Calibri" w:cs="Times New Roman"/>
          <w:szCs w:val="24"/>
          <w:lang w:eastAsia="ko-KR"/>
        </w:rPr>
        <w:t xml:space="preserve"> (d) health care infrastructure attributes</w:t>
      </w:r>
      <w:r w:rsidR="009C67B8" w:rsidRPr="008D27B0">
        <w:rPr>
          <w:rFonts w:eastAsia="Calibri" w:cs="Times New Roman"/>
          <w:szCs w:val="24"/>
          <w:lang w:eastAsia="ko-KR"/>
        </w:rPr>
        <w:t>,</w:t>
      </w:r>
      <w:r w:rsidR="00BE2551" w:rsidRPr="008D27B0">
        <w:rPr>
          <w:rFonts w:eastAsia="Calibri" w:cs="Times New Roman"/>
          <w:szCs w:val="24"/>
          <w:lang w:eastAsia="ko-KR"/>
        </w:rPr>
        <w:t xml:space="preserve"> and (e) spatial factors</w:t>
      </w:r>
      <w:r w:rsidRPr="007959E6">
        <w:t xml:space="preserve">. </w:t>
      </w:r>
      <w:r w:rsidR="009C67B8">
        <w:t xml:space="preserve">For our analysis, we </w:t>
      </w:r>
      <w:r w:rsidR="009C67B8" w:rsidRPr="007959E6">
        <w:t>proposed a simultaneous econometric model system</w:t>
      </w:r>
      <w:r w:rsidR="009C67B8">
        <w:t xml:space="preserve"> that explicitly accounts for the </w:t>
      </w:r>
      <w:r w:rsidR="009C67B8" w:rsidRPr="007959E6">
        <w:t xml:space="preserve">bi-directional </w:t>
      </w:r>
      <w:r w:rsidR="002D3238">
        <w:t xml:space="preserve">relationship between </w:t>
      </w:r>
      <w:r w:rsidR="009C67B8" w:rsidRPr="007959E6">
        <w:t>COVID-19 transmission and mobility</w:t>
      </w:r>
      <w:r w:rsidR="002D3238">
        <w:t xml:space="preserve"> patterns while also accounting for the influence of common unobserved factors on the two variables.</w:t>
      </w:r>
      <w:r w:rsidR="009C67B8">
        <w:t xml:space="preserve"> </w:t>
      </w:r>
      <w:r w:rsidR="001C3A51">
        <w:t>The model results</w:t>
      </w:r>
      <w:r w:rsidR="001C3A51" w:rsidRPr="007959E6">
        <w:t xml:space="preserve"> </w:t>
      </w:r>
      <w:r w:rsidR="00741967">
        <w:t xml:space="preserve">strongly support our hypothesis that </w:t>
      </w:r>
      <w:r w:rsidR="001C3A51" w:rsidRPr="007959E6">
        <w:t xml:space="preserve">COVID-19 transmission and mobility patterns </w:t>
      </w:r>
      <w:r w:rsidR="00741967">
        <w:t>are interconnected</w:t>
      </w:r>
      <w:r w:rsidR="001C3A51" w:rsidRPr="007959E6">
        <w:t xml:space="preserve">. </w:t>
      </w:r>
      <w:r w:rsidR="00741967">
        <w:t>Further, o</w:t>
      </w:r>
      <w:r w:rsidRPr="007959E6">
        <w:t xml:space="preserve">ur findings show distinct phases of the </w:t>
      </w:r>
      <w:r w:rsidR="00741967">
        <w:t xml:space="preserve">bi-directional </w:t>
      </w:r>
      <w:r w:rsidRPr="007959E6">
        <w:t xml:space="preserve">relationship influenced by behavior changes, vaccine availability and the emergence </w:t>
      </w:r>
      <w:r w:rsidR="001C3A51">
        <w:t xml:space="preserve">of </w:t>
      </w:r>
      <w:r w:rsidRPr="007959E6">
        <w:t xml:space="preserve">new variants. Additionally, we </w:t>
      </w:r>
      <w:r w:rsidR="0066481D">
        <w:t>conducted</w:t>
      </w:r>
      <w:r w:rsidR="0066481D" w:rsidRPr="007959E6">
        <w:t xml:space="preserve"> </w:t>
      </w:r>
      <w:r w:rsidRPr="007959E6">
        <w:t xml:space="preserve">a validation exercise </w:t>
      </w:r>
      <w:r w:rsidR="0066481D">
        <w:t xml:space="preserve">on a hold-out sample </w:t>
      </w:r>
      <w:r w:rsidRPr="007959E6">
        <w:t>to assess the robustness of our model</w:t>
      </w:r>
      <w:r w:rsidR="0066481D">
        <w:t>. T</w:t>
      </w:r>
      <w:r w:rsidRPr="007959E6">
        <w:t xml:space="preserve">he results confirm the superiority of the simultaneous model </w:t>
      </w:r>
      <w:r w:rsidR="0066481D" w:rsidRPr="003759A5">
        <w:t xml:space="preserve">system </w:t>
      </w:r>
      <w:r w:rsidRPr="003759A5">
        <w:t xml:space="preserve">with enhanced interpretability and prediction capability. By analyzing </w:t>
      </w:r>
      <w:r w:rsidR="0066481D" w:rsidRPr="003759A5">
        <w:t>data from several weeks</w:t>
      </w:r>
      <w:r w:rsidR="00735F2A" w:rsidRPr="003759A5">
        <w:t xml:space="preserve"> for COVID-19 pandemic</w:t>
      </w:r>
      <w:r w:rsidRPr="003759A5">
        <w:t xml:space="preserve">, our study provides valuable insights into the evolving dynamics </w:t>
      </w:r>
      <w:r w:rsidR="00735F2A" w:rsidRPr="003759A5">
        <w:t xml:space="preserve">and potential </w:t>
      </w:r>
      <w:r w:rsidR="00EE058B" w:rsidRPr="003759A5">
        <w:t>strategies for future pandemics</w:t>
      </w:r>
      <w:r w:rsidRPr="003759A5">
        <w:t>.</w:t>
      </w:r>
    </w:p>
    <w:p w14:paraId="0CCB5010" w14:textId="77777777" w:rsidR="001677A1" w:rsidRDefault="001677A1" w:rsidP="00EB5197"/>
    <w:p w14:paraId="2C7E4071" w14:textId="1358DC1E" w:rsidR="006A3F83" w:rsidRPr="006A3F83" w:rsidRDefault="006A3F83" w:rsidP="00EB5197">
      <w:pPr>
        <w:sectPr w:rsidR="006A3F83" w:rsidRPr="006A3F83" w:rsidSect="00130DFC">
          <w:pgSz w:w="12240" w:h="15840"/>
          <w:pgMar w:top="1440" w:right="1440" w:bottom="1440" w:left="1440" w:header="720" w:footer="720" w:gutter="0"/>
          <w:lnNumType w:countBy="1"/>
          <w:cols w:space="720"/>
          <w:docGrid w:linePitch="360"/>
        </w:sectPr>
      </w:pPr>
      <w:r w:rsidRPr="00B06893">
        <w:rPr>
          <w:rFonts w:cs="Times New Roman"/>
          <w:b/>
          <w:bCs/>
          <w:szCs w:val="24"/>
        </w:rPr>
        <w:t xml:space="preserve">Keywords: </w:t>
      </w:r>
      <w:r w:rsidR="000C211C" w:rsidRPr="000C211C">
        <w:t>COVID-19 transmission, mobility pattern</w:t>
      </w:r>
      <w:r w:rsidR="001A2859">
        <w:t>s</w:t>
      </w:r>
      <w:r w:rsidR="000C211C" w:rsidRPr="000C211C">
        <w:t xml:space="preserve">, bi-directional relationship, </w:t>
      </w:r>
      <w:r w:rsidR="001A2859">
        <w:t>s</w:t>
      </w:r>
      <w:r w:rsidR="000C211C" w:rsidRPr="000C211C">
        <w:t>imultaneous model</w:t>
      </w:r>
    </w:p>
    <w:p w14:paraId="19EFF824" w14:textId="7341F1DE" w:rsidR="00316612" w:rsidRDefault="00C21D59" w:rsidP="00EB5197">
      <w:pPr>
        <w:pStyle w:val="Heading1"/>
        <w:ind w:left="432" w:hanging="432"/>
      </w:pPr>
      <w:r>
        <w:lastRenderedPageBreak/>
        <w:t>INTRODUCTION</w:t>
      </w:r>
    </w:p>
    <w:p w14:paraId="69620E41" w14:textId="5E360A4C" w:rsidR="00922B3D" w:rsidRPr="004465BD" w:rsidRDefault="0032022E" w:rsidP="00EB5197">
      <w:pPr>
        <w:rPr>
          <w:rFonts w:cs="Times New Roman"/>
          <w:szCs w:val="24"/>
        </w:rPr>
      </w:pPr>
      <w:r w:rsidRPr="004465BD">
        <w:rPr>
          <w:rFonts w:cs="Times New Roman"/>
          <w:szCs w:val="24"/>
        </w:rPr>
        <w:t>Coronavirus disease 2019 (COVID-19) pandemic has affected the mental and physical health of people across the world significantly taxing the social, health and economic systems</w:t>
      </w:r>
      <w:r w:rsidR="008C28D2" w:rsidRPr="004465BD">
        <w:rPr>
          <w:rFonts w:cs="Times New Roman"/>
          <w:szCs w:val="24"/>
        </w:rPr>
        <w:t xml:space="preserve"> </w:t>
      </w:r>
      <w:r w:rsidR="008C28D2" w:rsidRPr="004465BD">
        <w:rPr>
          <w:rFonts w:cs="Times New Roman"/>
          <w:szCs w:val="24"/>
        </w:rPr>
        <w:fldChar w:fldCharType="begin" w:fldLock="1"/>
      </w:r>
      <w:r w:rsidR="00B91AEB" w:rsidRPr="004465BD">
        <w:rPr>
          <w:rFonts w:cs="Times New Roman"/>
          <w:szCs w:val="24"/>
        </w:rPr>
        <w:instrText>ADDIN CSL_CITATION {"citationItems":[{"id":"ITEM-1","itemData":{"URL":"https://www.worldbank.org/en/news/feature/2020/06/08/the-global-economic-outlook-during-the-covid-19-pandemic-a-changed-world","accessed":{"date-parts":[["2020","7","12"]]},"container-title":"the World Bank","id":"ITEM-1","issued":{"date-parts":[["2020"]]},"page":"5-9","title":"The Global Economic Outlook During the COVID-19 Pandemic: A Changed World","type":"webpage","volume":"12"},"uris":["http://www.mendeley.com/documents/?uuid=d38308d2-0052-3ec2-973d-fd0b84bcf323"]}],"mendeley":{"formattedCitation":"(&lt;i&gt;1&lt;/i&gt;)","plainTextFormattedCitation":"(1)","previouslyFormattedCitation":"(&lt;i&gt;1&lt;/i&gt;)"},"properties":{"noteIndex":0},"schema":"https://github.com/citation-style-language/schema/raw/master/csl-citation.json"}</w:instrText>
      </w:r>
      <w:r w:rsidR="008C28D2" w:rsidRPr="004465BD">
        <w:rPr>
          <w:rFonts w:cs="Times New Roman"/>
          <w:szCs w:val="24"/>
        </w:rPr>
        <w:fldChar w:fldCharType="separate"/>
      </w:r>
      <w:r w:rsidR="008C28D2" w:rsidRPr="004465BD">
        <w:rPr>
          <w:rFonts w:cs="Times New Roman"/>
          <w:noProof/>
          <w:szCs w:val="24"/>
        </w:rPr>
        <w:t>(</w:t>
      </w:r>
      <w:r w:rsidR="008C28D2" w:rsidRPr="004465BD">
        <w:rPr>
          <w:rFonts w:cs="Times New Roman"/>
          <w:i/>
          <w:noProof/>
          <w:szCs w:val="24"/>
        </w:rPr>
        <w:t>1</w:t>
      </w:r>
      <w:r w:rsidR="008C28D2" w:rsidRPr="004465BD">
        <w:rPr>
          <w:rFonts w:cs="Times New Roman"/>
          <w:noProof/>
          <w:szCs w:val="24"/>
        </w:rPr>
        <w:t>)</w:t>
      </w:r>
      <w:r w:rsidR="008C28D2" w:rsidRPr="004465BD">
        <w:rPr>
          <w:rFonts w:cs="Times New Roman"/>
          <w:szCs w:val="24"/>
        </w:rPr>
        <w:fldChar w:fldCharType="end"/>
      </w:r>
      <w:r w:rsidRPr="004465BD">
        <w:rPr>
          <w:rFonts w:cs="Times New Roman"/>
          <w:szCs w:val="24"/>
        </w:rPr>
        <w:t xml:space="preserve">. The </w:t>
      </w:r>
      <w:r w:rsidR="00910C1A" w:rsidRPr="004465BD">
        <w:rPr>
          <w:rFonts w:cs="Times New Roman"/>
          <w:szCs w:val="24"/>
        </w:rPr>
        <w:t xml:space="preserve">multiple </w:t>
      </w:r>
      <w:r w:rsidRPr="004465BD">
        <w:rPr>
          <w:rFonts w:cs="Times New Roman"/>
          <w:szCs w:val="24"/>
        </w:rPr>
        <w:t>surge</w:t>
      </w:r>
      <w:r w:rsidR="00910C1A" w:rsidRPr="004465BD">
        <w:rPr>
          <w:rFonts w:cs="Times New Roman"/>
          <w:szCs w:val="24"/>
        </w:rPr>
        <w:t>s</w:t>
      </w:r>
      <w:r w:rsidRPr="004465BD">
        <w:rPr>
          <w:rFonts w:cs="Times New Roman"/>
          <w:szCs w:val="24"/>
        </w:rPr>
        <w:t xml:space="preserve"> of COVID-19 cases in US, Europe and various countries around the world </w:t>
      </w:r>
      <w:r w:rsidR="00910C1A" w:rsidRPr="004465BD">
        <w:rPr>
          <w:rFonts w:cs="Times New Roman"/>
          <w:szCs w:val="24"/>
        </w:rPr>
        <w:t>have</w:t>
      </w:r>
      <w:r w:rsidRPr="004465BD">
        <w:rPr>
          <w:rFonts w:cs="Times New Roman"/>
          <w:szCs w:val="24"/>
        </w:rPr>
        <w:t xml:space="preserve"> burdened social, health and economic systems. </w:t>
      </w:r>
      <w:r w:rsidR="00C30060" w:rsidRPr="004465BD">
        <w:rPr>
          <w:rFonts w:cs="Times New Roman"/>
          <w:szCs w:val="24"/>
        </w:rPr>
        <w:t>While the number of COVID cases have substantially reduced</w:t>
      </w:r>
      <w:r w:rsidR="00EE2456" w:rsidRPr="004465BD">
        <w:rPr>
          <w:rFonts w:cs="Times New Roman"/>
          <w:szCs w:val="24"/>
        </w:rPr>
        <w:t xml:space="preserve"> post</w:t>
      </w:r>
      <w:r w:rsidR="00045784" w:rsidRPr="004465BD">
        <w:rPr>
          <w:rFonts w:cs="Times New Roman"/>
          <w:szCs w:val="24"/>
        </w:rPr>
        <w:t>-</w:t>
      </w:r>
      <w:r w:rsidR="00EE2456" w:rsidRPr="004465BD">
        <w:rPr>
          <w:rFonts w:cs="Times New Roman"/>
          <w:szCs w:val="24"/>
        </w:rPr>
        <w:t>Omicron</w:t>
      </w:r>
      <w:r w:rsidR="00C30060" w:rsidRPr="004465BD">
        <w:rPr>
          <w:rFonts w:cs="Times New Roman"/>
          <w:szCs w:val="24"/>
        </w:rPr>
        <w:t xml:space="preserve">, </w:t>
      </w:r>
      <w:r w:rsidR="003734F3" w:rsidRPr="004465BD">
        <w:rPr>
          <w:rFonts w:cs="Times New Roman"/>
          <w:szCs w:val="24"/>
        </w:rPr>
        <w:t>it appears that COVID will continue to burden health systems</w:t>
      </w:r>
      <w:r w:rsidR="00AC2B1C" w:rsidRPr="004465BD">
        <w:rPr>
          <w:rFonts w:cs="Times New Roman"/>
          <w:szCs w:val="24"/>
        </w:rPr>
        <w:t xml:space="preserve"> as we enter the endemic stage</w:t>
      </w:r>
      <w:r w:rsidR="00922B3D" w:rsidRPr="004465BD">
        <w:rPr>
          <w:rFonts w:cs="Times New Roman"/>
          <w:szCs w:val="24"/>
        </w:rPr>
        <w:t xml:space="preserve">. </w:t>
      </w:r>
      <w:r w:rsidR="00390734" w:rsidRPr="004465BD">
        <w:rPr>
          <w:rFonts w:cs="Times New Roman"/>
          <w:szCs w:val="24"/>
        </w:rPr>
        <w:t xml:space="preserve">The focus of the current research effort is </w:t>
      </w:r>
      <w:r w:rsidR="000A7333" w:rsidRPr="004465BD">
        <w:rPr>
          <w:rFonts w:cs="Times New Roman"/>
          <w:szCs w:val="24"/>
        </w:rPr>
        <w:t xml:space="preserve">on </w:t>
      </w:r>
      <w:r w:rsidR="00390734" w:rsidRPr="004465BD">
        <w:rPr>
          <w:rFonts w:cs="Times New Roman"/>
          <w:szCs w:val="24"/>
        </w:rPr>
        <w:t>understand</w:t>
      </w:r>
      <w:r w:rsidR="000A7333" w:rsidRPr="004465BD">
        <w:rPr>
          <w:rFonts w:cs="Times New Roman"/>
          <w:szCs w:val="24"/>
        </w:rPr>
        <w:t>ing</w:t>
      </w:r>
      <w:r w:rsidR="00390734" w:rsidRPr="004465BD">
        <w:rPr>
          <w:rFonts w:cs="Times New Roman"/>
          <w:szCs w:val="24"/>
        </w:rPr>
        <w:t xml:space="preserve"> the </w:t>
      </w:r>
      <w:r w:rsidR="00045F4B" w:rsidRPr="004465BD">
        <w:rPr>
          <w:rFonts w:cs="Times New Roman"/>
          <w:szCs w:val="24"/>
        </w:rPr>
        <w:t xml:space="preserve">evolving </w:t>
      </w:r>
      <w:r w:rsidR="00390734" w:rsidRPr="004465BD">
        <w:rPr>
          <w:rFonts w:cs="Times New Roman"/>
          <w:szCs w:val="24"/>
        </w:rPr>
        <w:t xml:space="preserve">time-varying </w:t>
      </w:r>
      <w:r w:rsidR="00BD268D" w:rsidRPr="004465BD">
        <w:rPr>
          <w:rFonts w:cs="Times New Roman"/>
          <w:szCs w:val="24"/>
        </w:rPr>
        <w:t xml:space="preserve">bi-directional </w:t>
      </w:r>
      <w:r w:rsidR="00282758" w:rsidRPr="004465BD">
        <w:rPr>
          <w:rFonts w:cs="Times New Roman"/>
          <w:szCs w:val="24"/>
        </w:rPr>
        <w:t xml:space="preserve">relationship between </w:t>
      </w:r>
      <w:r w:rsidR="00390734" w:rsidRPr="004465BD">
        <w:rPr>
          <w:rFonts w:cs="Times New Roman"/>
          <w:szCs w:val="24"/>
        </w:rPr>
        <w:t xml:space="preserve">COVID-19 </w:t>
      </w:r>
      <w:r w:rsidR="00282758" w:rsidRPr="004465BD">
        <w:rPr>
          <w:rFonts w:cs="Times New Roman"/>
          <w:szCs w:val="24"/>
        </w:rPr>
        <w:t xml:space="preserve">transmission and transportation mobility. </w:t>
      </w:r>
    </w:p>
    <w:p w14:paraId="786013E7" w14:textId="19274058" w:rsidR="003672FD" w:rsidRPr="004465BD" w:rsidRDefault="00922B3D" w:rsidP="00EB5197">
      <w:pPr>
        <w:ind w:firstLine="432"/>
        <w:rPr>
          <w:rFonts w:cs="Times New Roman"/>
          <w:szCs w:val="24"/>
        </w:rPr>
      </w:pPr>
      <w:r w:rsidRPr="004465BD">
        <w:rPr>
          <w:rFonts w:cs="Times New Roman"/>
          <w:szCs w:val="24"/>
        </w:rPr>
        <w:t xml:space="preserve">In March 2020, when COVID-19 was declared a pandemic, </w:t>
      </w:r>
      <w:r w:rsidR="002D081C" w:rsidRPr="004465BD">
        <w:rPr>
          <w:rFonts w:cs="Times New Roman"/>
          <w:szCs w:val="24"/>
        </w:rPr>
        <w:t xml:space="preserve">it was a major shock to the world population affecting work schedules, transportation mobility and </w:t>
      </w:r>
      <w:r w:rsidR="000634C2" w:rsidRPr="004465BD">
        <w:rPr>
          <w:rFonts w:cs="Times New Roman"/>
          <w:szCs w:val="24"/>
        </w:rPr>
        <w:t xml:space="preserve">nearly every facet of life. </w:t>
      </w:r>
      <w:r w:rsidR="003C569F" w:rsidRPr="004465BD">
        <w:rPr>
          <w:rFonts w:cs="Times New Roman"/>
          <w:szCs w:val="24"/>
        </w:rPr>
        <w:t xml:space="preserve">In the initial months of the pandemic, following social distancing guidelines and stay-at-home orders transportation mobility significantly reduced. </w:t>
      </w:r>
      <w:r w:rsidR="00282758" w:rsidRPr="004465BD">
        <w:rPr>
          <w:rFonts w:cs="Times New Roman"/>
          <w:szCs w:val="24"/>
        </w:rPr>
        <w:t xml:space="preserve">A large </w:t>
      </w:r>
      <w:r w:rsidR="004B1696" w:rsidRPr="004465BD">
        <w:rPr>
          <w:rFonts w:cs="Times New Roman"/>
          <w:szCs w:val="24"/>
        </w:rPr>
        <w:t xml:space="preserve">section of the population voluntarily followed public health guidance to </w:t>
      </w:r>
      <w:r w:rsidR="00906EF0" w:rsidRPr="004465BD">
        <w:rPr>
          <w:rFonts w:cs="Times New Roman"/>
          <w:szCs w:val="24"/>
        </w:rPr>
        <w:t>alter</w:t>
      </w:r>
      <w:r w:rsidR="004B1696" w:rsidRPr="004465BD">
        <w:rPr>
          <w:rFonts w:cs="Times New Roman"/>
          <w:szCs w:val="24"/>
        </w:rPr>
        <w:t xml:space="preserve"> their </w:t>
      </w:r>
      <w:r w:rsidR="00906EF0" w:rsidRPr="004465BD">
        <w:rPr>
          <w:rFonts w:cs="Times New Roman"/>
          <w:szCs w:val="24"/>
        </w:rPr>
        <w:t xml:space="preserve">social interaction and mobility patterns. </w:t>
      </w:r>
      <w:r w:rsidR="00661788" w:rsidRPr="004465BD">
        <w:rPr>
          <w:rFonts w:cs="Times New Roman"/>
          <w:szCs w:val="24"/>
        </w:rPr>
        <w:t xml:space="preserve">However, as the pandemic continued to persist, there have been changes in behavior influencing mobility patterns. </w:t>
      </w:r>
      <w:r w:rsidR="0056489F" w:rsidRPr="004465BD">
        <w:rPr>
          <w:rFonts w:cs="Times New Roman"/>
          <w:szCs w:val="24"/>
        </w:rPr>
        <w:t>The change</w:t>
      </w:r>
      <w:r w:rsidR="00895873" w:rsidRPr="004465BD">
        <w:rPr>
          <w:rFonts w:cs="Times New Roman"/>
          <w:szCs w:val="24"/>
        </w:rPr>
        <w:t>s</w:t>
      </w:r>
      <w:r w:rsidR="0056489F" w:rsidRPr="004465BD">
        <w:rPr>
          <w:rFonts w:cs="Times New Roman"/>
          <w:szCs w:val="24"/>
        </w:rPr>
        <w:t xml:space="preserve"> in behavior can be described along two directions. </w:t>
      </w:r>
      <w:r w:rsidR="0056489F" w:rsidRPr="004465BD">
        <w:rPr>
          <w:rFonts w:cs="Times New Roman"/>
          <w:szCs w:val="24"/>
          <w:u w:val="single"/>
        </w:rPr>
        <w:t>First</w:t>
      </w:r>
      <w:r w:rsidR="0056489F" w:rsidRPr="004465BD">
        <w:rPr>
          <w:rFonts w:cs="Times New Roman"/>
          <w:szCs w:val="24"/>
        </w:rPr>
        <w:t xml:space="preserve">, the </w:t>
      </w:r>
      <w:r w:rsidR="00811A55" w:rsidRPr="004465BD">
        <w:rPr>
          <w:rFonts w:cs="Times New Roman"/>
          <w:szCs w:val="24"/>
        </w:rPr>
        <w:t xml:space="preserve">share </w:t>
      </w:r>
      <w:r w:rsidR="0056489F" w:rsidRPr="004465BD">
        <w:rPr>
          <w:rFonts w:cs="Times New Roman"/>
          <w:szCs w:val="24"/>
        </w:rPr>
        <w:t xml:space="preserve">of the population </w:t>
      </w:r>
      <w:r w:rsidR="002C1924" w:rsidRPr="004465BD">
        <w:rPr>
          <w:rFonts w:cs="Times New Roman"/>
          <w:szCs w:val="24"/>
        </w:rPr>
        <w:t xml:space="preserve">that reduced their mobility started to go down. </w:t>
      </w:r>
      <w:r w:rsidR="002C1924" w:rsidRPr="004465BD">
        <w:rPr>
          <w:rFonts w:cs="Times New Roman"/>
          <w:szCs w:val="24"/>
          <w:u w:val="single"/>
        </w:rPr>
        <w:t>Second</w:t>
      </w:r>
      <w:r w:rsidR="002C1924" w:rsidRPr="004465BD">
        <w:rPr>
          <w:rFonts w:cs="Times New Roman"/>
          <w:szCs w:val="24"/>
        </w:rPr>
        <w:t xml:space="preserve">, </w:t>
      </w:r>
      <w:r w:rsidR="00B81170" w:rsidRPr="004465BD">
        <w:rPr>
          <w:rFonts w:cs="Times New Roman"/>
          <w:szCs w:val="24"/>
        </w:rPr>
        <w:t xml:space="preserve">even among the population altering their behavior, </w:t>
      </w:r>
      <w:r w:rsidR="00990C86" w:rsidRPr="004465BD">
        <w:rPr>
          <w:rFonts w:cs="Times New Roman"/>
          <w:szCs w:val="24"/>
        </w:rPr>
        <w:t xml:space="preserve">the </w:t>
      </w:r>
      <w:r w:rsidR="00493E4B" w:rsidRPr="004465BD">
        <w:rPr>
          <w:rFonts w:cs="Times New Roman"/>
          <w:szCs w:val="24"/>
        </w:rPr>
        <w:t xml:space="preserve">difference </w:t>
      </w:r>
      <w:r w:rsidR="00990C86" w:rsidRPr="004465BD">
        <w:rPr>
          <w:rFonts w:cs="Times New Roman"/>
          <w:szCs w:val="24"/>
        </w:rPr>
        <w:t xml:space="preserve">(or reduction) in mobility </w:t>
      </w:r>
      <w:r w:rsidR="00493E4B" w:rsidRPr="004465BD">
        <w:rPr>
          <w:rFonts w:cs="Times New Roman"/>
          <w:szCs w:val="24"/>
        </w:rPr>
        <w:t xml:space="preserve">relative to </w:t>
      </w:r>
      <w:r w:rsidR="009F398F" w:rsidRPr="004465BD">
        <w:rPr>
          <w:rFonts w:cs="Times New Roman"/>
          <w:szCs w:val="24"/>
        </w:rPr>
        <w:t>early</w:t>
      </w:r>
      <w:r w:rsidR="00493E4B" w:rsidRPr="004465BD">
        <w:rPr>
          <w:rFonts w:cs="Times New Roman"/>
          <w:szCs w:val="24"/>
        </w:rPr>
        <w:t xml:space="preserve">-pandemic levels </w:t>
      </w:r>
      <w:r w:rsidR="009F398F" w:rsidRPr="004465BD">
        <w:rPr>
          <w:rFonts w:cs="Times New Roman"/>
          <w:szCs w:val="24"/>
        </w:rPr>
        <w:t>were</w:t>
      </w:r>
      <w:r w:rsidR="008F2A54" w:rsidRPr="004465BD">
        <w:rPr>
          <w:rFonts w:cs="Times New Roman"/>
          <w:szCs w:val="24"/>
        </w:rPr>
        <w:t xml:space="preserve"> reducing</w:t>
      </w:r>
      <w:r w:rsidR="003E6353" w:rsidRPr="004465BD">
        <w:rPr>
          <w:rFonts w:cs="Times New Roman"/>
          <w:szCs w:val="24"/>
        </w:rPr>
        <w:t xml:space="preserve">. </w:t>
      </w:r>
      <w:r w:rsidR="00006B17" w:rsidRPr="004465BD">
        <w:rPr>
          <w:rFonts w:cs="Times New Roman"/>
          <w:szCs w:val="24"/>
        </w:rPr>
        <w:t>These changes have ebbed and flowed with local and global COVID-19 case numbers in the region</w:t>
      </w:r>
      <w:r w:rsidR="008F2A54" w:rsidRPr="004465BD">
        <w:rPr>
          <w:rFonts w:cs="Times New Roman"/>
          <w:szCs w:val="24"/>
        </w:rPr>
        <w:t xml:space="preserve"> over time</w:t>
      </w:r>
      <w:r w:rsidR="00006B17" w:rsidRPr="004465BD">
        <w:rPr>
          <w:rFonts w:cs="Times New Roman"/>
          <w:szCs w:val="24"/>
        </w:rPr>
        <w:t xml:space="preserve">. </w:t>
      </w:r>
      <w:r w:rsidR="00A772C8" w:rsidRPr="004465BD">
        <w:rPr>
          <w:rFonts w:cs="Times New Roman"/>
          <w:szCs w:val="24"/>
        </w:rPr>
        <w:t>In this research, w</w:t>
      </w:r>
      <w:r w:rsidR="00906EF0" w:rsidRPr="004465BD">
        <w:rPr>
          <w:rFonts w:cs="Times New Roman"/>
          <w:szCs w:val="24"/>
        </w:rPr>
        <w:t xml:space="preserve">e hypothesize that as the pandemic </w:t>
      </w:r>
      <w:r w:rsidR="00006B17" w:rsidRPr="004465BD">
        <w:rPr>
          <w:rFonts w:cs="Times New Roman"/>
          <w:szCs w:val="24"/>
        </w:rPr>
        <w:t>continued</w:t>
      </w:r>
      <w:r w:rsidR="00906EF0" w:rsidRPr="004465BD">
        <w:rPr>
          <w:rFonts w:cs="Times New Roman"/>
          <w:szCs w:val="24"/>
        </w:rPr>
        <w:t>, the</w:t>
      </w:r>
      <w:r w:rsidR="00CE3C19" w:rsidRPr="004465BD">
        <w:rPr>
          <w:rFonts w:cs="Times New Roman"/>
          <w:szCs w:val="24"/>
        </w:rPr>
        <w:t xml:space="preserve">re were multiple phases </w:t>
      </w:r>
      <w:r w:rsidR="00006B17" w:rsidRPr="004465BD">
        <w:rPr>
          <w:rFonts w:cs="Times New Roman"/>
          <w:szCs w:val="24"/>
        </w:rPr>
        <w:t xml:space="preserve">in how the </w:t>
      </w:r>
      <w:r w:rsidR="00CE3C19" w:rsidRPr="004465BD">
        <w:rPr>
          <w:rFonts w:cs="Times New Roman"/>
          <w:szCs w:val="24"/>
        </w:rPr>
        <w:t>relationship between COVID and transportation mobility</w:t>
      </w:r>
      <w:r w:rsidR="00006B17" w:rsidRPr="004465BD">
        <w:rPr>
          <w:rFonts w:cs="Times New Roman"/>
          <w:szCs w:val="24"/>
        </w:rPr>
        <w:t xml:space="preserve"> evolved</w:t>
      </w:r>
      <w:r w:rsidR="00CE3C19" w:rsidRPr="004465BD">
        <w:rPr>
          <w:rFonts w:cs="Times New Roman"/>
          <w:szCs w:val="24"/>
        </w:rPr>
        <w:t xml:space="preserve">. </w:t>
      </w:r>
    </w:p>
    <w:p w14:paraId="2E225C77" w14:textId="2D6876F8" w:rsidR="00A867E7" w:rsidRPr="004465BD" w:rsidRDefault="003672FD" w:rsidP="00A867E7">
      <w:pPr>
        <w:ind w:firstLine="432"/>
        <w:rPr>
          <w:shd w:val="clear" w:color="auto" w:fill="FFFFFF"/>
        </w:rPr>
      </w:pPr>
      <w:r w:rsidRPr="004465BD">
        <w:rPr>
          <w:rFonts w:cs="Times New Roman"/>
          <w:szCs w:val="24"/>
        </w:rPr>
        <w:t xml:space="preserve">The initial phase of the pandemic is characterized by large </w:t>
      </w:r>
      <w:r w:rsidR="00A05568" w:rsidRPr="004465BD">
        <w:rPr>
          <w:rFonts w:cs="Times New Roman"/>
          <w:szCs w:val="24"/>
        </w:rPr>
        <w:t xml:space="preserve">abrupt </w:t>
      </w:r>
      <w:r w:rsidRPr="004465BD">
        <w:rPr>
          <w:rFonts w:cs="Times New Roman"/>
          <w:szCs w:val="24"/>
        </w:rPr>
        <w:t>shifts in mobility patterns. S</w:t>
      </w:r>
      <w:r w:rsidR="00A47447" w:rsidRPr="004465BD">
        <w:rPr>
          <w:rFonts w:cs="Times New Roman"/>
        </w:rPr>
        <w:t xml:space="preserve">everal research efforts analyzing US data found the effectiveness of social distancing measures in mitigating COVID-19 transmission </w:t>
      </w:r>
      <w:r w:rsidR="00147B78" w:rsidRPr="004465BD">
        <w:rPr>
          <w:rFonts w:cs="Times New Roman"/>
        </w:rPr>
        <w:fldChar w:fldCharType="begin" w:fldLock="1"/>
      </w:r>
      <w:r w:rsidR="003F0696" w:rsidRPr="004465BD">
        <w:rPr>
          <w:rFonts w:cs="Times New Roman"/>
        </w:rPr>
        <w:instrText>ADDIN CSL_CITATION {"citationItems":[{"id":"ITEM-1","itemData":{"DOI":"10.2139/ssrn.3565703","ISSN":"1556-5068","abstract":"We combine GPS data on changes in average distance travelled by individuals at the county level with Covid-19 case data and other demographic information to estimate how individual mobility is affected by local disease prevalence and restriction orders to stay at home. We find that a rise of local infection rate from 0% to 0.003%4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Journal","id":"ITEM-1","issued":{"date-parts":[["2020"]]},"title":"Staying at Home: Mobility Effects of COVID-19","type":"article-journal"},"uris":["http://www.mendeley.com/documents/?uuid=4b50d03b-a982-4195-8d8b-fa2c902b7907"]},{"id":"ITEM-2","itemData":{"DOI":"10.3386/w26992","ISSN":"0898-2937","abstract":"Apathy is the neuropsychiatric symptom that correlates most highly with Huntington's disease progression, and, like early patterns of neurodegeneration, is associated with lesions to cortico-striatal connections. However, due to its multidimensional nature and elusive etiology, treatment options are limited. Objectives: To disentangle underlying white matter microstructural correlates across the apathy spectrum in Huntington's disease. Methods: Forty-six Huntington's disease individuals (premanifest (N=22) and manifest (N=24)) and 35 healthy controls were scanned at 3-tesla and underwent apathy evaluation using the short-Problem Behavior Assessment and short-Lille Apathy Rating Scale, with the latter being characterized into three apathy domains, namely emotional, cognitive, and auto-activation deficit. Diffusion- tensor imaging was used to study whether individual differences in specific cortico-striatal tracts predicted apathy symptoms and domains. Results: We elucidate that apathy profiles may develop along differential timelines, with the auto-activation deficit domain manifesting prior to motor onset. Furthermore, diffusion-tensor imaging revealed that inter- individual variability in the disruption of discrete cortico-striatal tracts might explain the heterogeneous severity of apathy profiles. Specifically, higher levels of auto-activation deficit symptoms significantly correlated with increased mean diffusivity in the right uncinate fasciculus. Conversely, those with severe cognitive apathy demonstrated increased mean diffusivity in the right frontostriatal tract and left dorsolateral prefrontal cortex to caudate nucleus tract. Conclusions: The current study provides evidence that white matter correlates associated with emotional, cognitive, and auto-activation subtypes may elucidate the heterogeneous nature of apathy in Huntington's disease, as such opening a door for individualized pharmacological management of multidimensional apathy symptoms in other neurodegenerative disorders.","author":[{"dropping-particle":"","family":"Friedson","given":"Andrew","non-dropping-particle":"","parse-names":false,"suffix":""},{"dropping-particle":"","family":"McNichols","given":"Drew","non-dropping-particle":"","parse-names":false,"suffix":""},{"dropping-particle":"","family":"Sabia","given":"Joseph","non-dropping-particle":"","parse-names":false,"suffix":""},{"dropping-particle":"","family":"Dave","given":"Dhaval","non-dropping-particle":"","parse-names":false,"suffix":""}],"container-title":"National Bureau of Economic Research","id":"ITEM-2","issued":{"date-parts":[["2020"]]},"title":"Did California's Shelter-In-Place Order Work? Early Coronavirus-Related Public Health Effects","type":"article-journal"},"uris":["http://www.mendeley.com/documents/?uuid=bc3c8d78-aaa5-4f6a-bd97-fabbedfb136b"]},{"id":"ITEM-3","itemData":{"abstract":"In the absence of a vaccine or more effective treatment options, containing the spread of novel coronavirus disease 2019 (COVID-19) must rely on non-pharmaceutical interventions. All U.S. states adopted social-distancing measures in March and April of 2020, though they varied in both timing and scope. Kentucky began by closing public schools and restaurant dining rooms on March 16th before progressing to closing other non-essential businesses and eventually issuing a “Healthy at Home” order with restrictions similar to the shelter-in-place (SIPO) orders adopted by other states. We aim to quantify the impact of these measures on COVID-19 case growth in the state. An event-study model allows us to link adoption of social distancing measures across the Midwest and South to the growth rate of cases, allowing for effects to emerge gradually to account for the lag between infection and positive test result. We then use the results to predict how the number of cases would have evolved in Kentucky in the absence of these policy measures – in other words, if the state had relied on voluntary social distancing alone. We estimate that, by April 25, Kentucky would have had 44,482 confirmed COVID-19 cases without social distancing restrictions, as opposed to the 3,857 actually observed.","author":[{"dropping-particle":"","family":"Courtemanche","given":"Charles J","non-dropping-particle":"","parse-names":false,"suffix":""},{"dropping-particle":"","family":"Garuccio","given":"Joseph","non-dropping-particle":"","parse-names":false,"suffix":""},{"dropping-particle":"","family":"Le","given":"Anh","non-dropping-particle":"","parse-names":false,"suffix":""},{"dropping-particle":"","family":"Pinkston","given":"Joshua C","non-dropping-particle":"","parse-names":false,"suffix":""},{"dropping-particle":"","family":"Yelowitz","given":"Aaron","non-dropping-particle":"","parse-names":false,"suffix":""}],"container-title":"Institute for the study of free enterprise working papers","id":"ITEM-3","issued":{"date-parts":[["2020"]]},"page":"1-23","title":"Did Social-Distancing Measures in Kentucky Help to Flatten the COVID-19 Curve?","type":"article-journal","volume":"4"},"uris":["http://www.mendeley.com/documents/?uuid=dbd61dea-db4c-46fe-9527-e74c89043818"]},{"id":"ITEM-4","itemData":{"DOI":"10.1016/S1473-3099(20)30553-3","ISSN":"14744457","PMID":"32621869","abstract":"Background: Within 4 months of COVID-19 first being reported in the USA, it spread to every state and to more than 90% of all counties. During this period, the US COVID-19 response was highly decentralised, with stay-at-home directives issued by state and local officials, subject to varying levels of enforcement. The absence of a centralised policy and timeline combined with the complex dynamics of human mobility and the variable intensity of local outbreaks makes assessing the effect of large-scale social distancing on COVID-19 transmission in the USA a challenge. Methods: We used daily mobility data derived from aggregated and anonymised cell (mobile) phone data, provided by Teralytics (Zürich, Switzerland) from Jan 1 to April 20, 2020, to capture real-time trends in movement patterns for each US county, and used these data to generate a social distancing metric. We used epidemiological data to compute the COVID-19 growth rate ratio for a given county on a given day. Using these metrics, we evaluated how social distancing, measured by the relative change in mobility, affected the rate of new infections in the 25 counties in the USA with the highest number of confirmed cases on April 16, 2020, by fitting a statistical model for each county. Findings: Our analysis revealed that mobility patterns are strongly correlated with decreased COVID-19 case growth rates for the most affected counties in the USA, with Pearson correlation coefficients above 0·7 for 20 of the 25 counties evaluated. Additionally, the effect of changes in mobility patterns, which dropped by 35–63% relative to the normal conditions, on COVID-19 transmission are not likely to be perceptible for 9–12 days, and potentially up to 3 weeks, which is consistent with the incubation time of severe acute respiratory syndrome coronavirus 2 plus additional time for reporting. We also show evidence that behavioural changes were already underway in many US counties days to weeks before state-level or local-level stay-at-home policies were implemented, implying that individuals anticipated public health directives where social distancing was adopted, despite a mixed political message. Interpretation: This study strongly supports a role of social distancing as an effective way to mitigate COVID-19 transmission in the USA. Until a COVID-19 vaccine is widely available, social distancing will remain one of the primary measures to combat disease spread, and these findings should serve to support more time…","author":[{"dropping-particle":"","family":"Badr","given":"Hamada S.","non-dropping-particle":"","parse-names":false,"suffix":""},{"dropping-particle":"","family":"Du","given":"Hongru","non-dropping-particle":"","parse-names":false,"suffix":""},{"dropping-particle":"","family":"Marshall","given":"Maximilian","non-dropping-particle":"","parse-names":false,"suffix":""},{"dropping-particle":"","family":"Dong","given":"Ensheng","non-dropping-particle":"","parse-names":false,"suffix":""},{"dropping-particle":"","family":"Squire","given":"Marietta M.","non-dropping-particle":"","parse-names":false,"suffix":""},{"dropping-particle":"","family":"Gardner","given":"Lauren M.","non-dropping-particle":"","parse-names":false,"suffix":""}],"container-title":"The Lancet Infectious Diseases","id":"ITEM-4","issue":"11","issued":{"date-parts":[["2020"]]},"page":"1247-1254","title":"Association between mobility patterns and COVID-19 transmission in the USA: a mathematical modelling study","type":"article-journal","volume":"20"},"uris":["http://www.mendeley.com/documents/?uuid=ace838bc-ac20-4f57-a0cc-fb5bba76eccf"]},{"id":"ITEM-5","itemData":{"DOI":"10.1377/hlthaff.2020.00608","ISSN":"15445208","PMID":"32407171","abstract":"State and local governments imposed social distancing measures in March and April 2020 to contain the spread of the novel coronavirus disease (COVID-19). These measures included bans on large social gatherings; school closures; closures of entertainment venues, gyms, bars, and restaurant dining areas; and shelter-in-place orders. We evaluated the impact of these measures on the growth rate of confirmed COVID-19 cases across US counties between March 1, 2020, and April 27, 2020. An event study design allowed each policy’s impact on COVID-19 case growth to evolve over time. Adoption of government-imposed social distancing measures reduced the daily growth rate of confirmed COVID-19 cases by 5.4 percentage points after one to five days, 6.8 percentage points after six to ten days, 8.2 percentage points after eleven to fifteen days, and 9.1 percentage points after sixteen to twenty days. Holding the amount of voluntary social distancing constant, these results imply that there would have been ten times greater spread of COVID-19 by April 27 without shelter-in-place orders (ten million cases) and more than thirty-five times greater spread without any of the four measures (thirty-five million cases). Our article illustrates the potential danger of exponential spread in the absence of interventions, providing information relevant to strategies for restarting economic activity.","author":[{"dropping-particle":"","family":"Courtemanche","given":"Charles","non-dropping-particle":"","parse-names":false,"suffix":""},{"dropping-particle":"","family":"Garuccio","given":"Joseph","non-dropping-particle":"","parse-names":false,"suffix":""},{"dropping-particle":"","family":"Le","given":"Anh","non-dropping-particle":"","parse-names":false,"suffix":""},{"dropping-particle":"","family":"Pinkston","given":"Joshua","non-dropping-particle":"","parse-names":false,"suffix":""},{"dropping-particle":"","family":"Yelowitz","given":"Aaron","non-dropping-particle":"","parse-names":false,"suffix":""}],"container-title":"Health Affairs","id":"ITEM-5","issue":"7","issued":{"date-parts":[["2020"]]},"page":"1237-1246","title":"Strong social distancing measures in the united states reduced the covid-19 growth rate","type":"article-journal","volume":"39"},"uris":["http://www.mendeley.com/documents/?uuid=1bef6732-a65d-47f7-a97f-ca4afcc5d76a"]},{"id":"ITEM-6","itemData":{"DOI":"10.1016/j.jue.2020.103292","ISSN":"00941190","abstract":"How effective are restrictions on mobility in limiting COVID-19 spread? Using zip code data across five U.S. cities, we estimate that total cases per capita decrease by 19% for every ten percentage point fall in mobility. Addressing endogeneity concerns, we instrument for travel by residential teleworkable and essential shares and find a 25% decline in cases per capita. Using panel data for NYC with week and zip code fixed effects, we estimate a decline of 30%. We find substantial spatial and temporal heterogeneity; east coast cities have stronger effects, with the largest for NYC in the pandemic's early stages.","author":[{"dropping-particle":"","family":"Glaeser","given":"Edward L.","non-dropping-particle":"","parse-names":false,"suffix":""},{"dropping-particle":"","family":"Gorback","given":"Caitlin","non-dropping-particle":"","parse-names":false,"suffix":""},{"dropping-particle":"","family":"Redding","given":"Stephen J.","non-dropping-particle":"","parse-names":false,"suffix":""}],"container-title":"Journal of Urban Economics","id":"ITEM-6","issue":"July 2020","issued":{"date-parts":[["2022"]]},"publisher":"Elsevier Inc.","title":"JUE Insight: How much does COVID-19 increase with mobility? Evidence from New York and four other U.S. cities","type":"article-journal","volume":"127"},"uris":["http://www.mendeley.com/documents/?uuid=ff2699a1-4b9b-45a5-b409-483a899b4180"]},{"id":"ITEM-7","itemData":{"DOI":"10.1093/ofid/ofab586","ISSN":"23288957","abstract":"Background: It remains unclear how changes in human mobility shaped the transmission dynamic of coronavirus disease 2019 (COVID-19) during its first wave in the United States. Methods: By coupling a Bayesian hierarchical spatiotemporal model with reported case data and Google mobility data at the county level, we found that changes in movement were associated with notable changes in reported COVID-19 incidence rates about 5 to 7 weeks later. Results: Among all movement types, residential stay was the most influential driver of COVID-19 incidence rate, with a 10% increase 7 weeks ago reducing the disease incidence rate by 13% (95% credible interval, 6%-20%). A 10% increase in movement from home to workplaces, retail and recreation stores, public transit, grocery stores, and pharmacies 7 weeks ago was associated with an increase of 5%-8% in the COVID-10 incidence rate. In contrast, parks-related movement showed minimal impact. Conclusions: Policy-makers should anticipate such a delay when planning intervention strategies restricting human movement.","author":[{"dropping-particle":"","family":"He","given":"Shan","non-dropping-particle":"","parse-names":false,"suffix":""},{"dropping-particle":"","family":"Lee","given":"Jooyoung","non-dropping-particle":"","parse-names":false,"suffix":""},{"dropping-particle":"","family":"Langworthy","given":"Benjamin","non-dropping-particle":"","parse-names":false,"suffix":""},{"dropping-particle":"","family":"Xin","given":"Junyi","non-dropping-particle":"","parse-names":false,"suffix":""},{"dropping-particle":"","family":"James","given":"Peter","non-dropping-particle":"","parse-names":false,"suffix":""},{"dropping-particle":"","family":"Yang","given":"Yang","non-dropping-particle":"","parse-names":false,"suffix":""},{"dropping-particle":"","family":"Wang","given":"Molin","non-dropping-particle":"","parse-names":false,"suffix":""}],"container-title":"Open Forum Infectious Diseases","id":"ITEM-7","issue":"1","issued":{"date-parts":[["2022"]]},"page":"1-10","title":"Delay in the Effect of Restricting Community Mobility on the Spread of COVID-19 during the First Wave in the United States","type":"article-journal","volume":"9"},"uris":["http://www.mendeley.com/documents/?uuid=9d4a29fa-23b5-4f0f-ac28-0710e7cb6ddd"]},{"id":"ITEM-8","itemData":{"DOI":"10.1080/00036846.2023.2269630","ISSN":"14664283","abstract":"The novel coronavirus disease 2019 (COVID-19) outbreak has caused tremendous turmoil worldwide and is yet to be contained. Therefore, mitigating the number of people infected by COVID-19 remains a fundamental policy goal for several countries. This study aims to analyse the dynamic relationship between mobility and the rate of change in the number of new infections (NNIs) in Japan. Another goal is to evaluate the effects of various policies, such as mobility control and vaccination, as well as the impact of climate factors on the NNIs. The analysis reveals a strong positive relationship between the growth rate of the NNIs and mobility. Our results also indicate that the government-imposed measure of regulating mobility shows a weaker effect on preventing the spread of infection, as the emergency declaration is repeatedly invoked. By contrast, the recent increase in the infection rate seems to reduce the spread of infection by inducing voluntary restraint, and this phenomenon has become even stronger in the recent period. Regarding the effect of vaccination, the results demonstrate little effect on attenuating the spread of infection. However, it has significantly weakened the mobility–spread relationship, suggesting that it may help in the implementation of economic revitalization policies.","author":[{"dropping-particle":"","family":"Inoue","given":"Tomoo","non-dropping-particle":"","parse-names":false,"suffix":""},{"dropping-particle":"","family":"Okimoto","given":"Tatsuyoshi","non-dropping-particle":"","parse-names":false,"suffix":""}],"container-title":"Applied Economics","id":"ITEM-8","issue":"00","issued":{"date-parts":[["2023"]]},"page":"1-15","publisher":"Routledge","title":"Exploring the dynamic relationship between mobility and the spread of COVID-19, and the role of vaccines","type":"article-journal","volume":"00"},"uris":["http://www.mendeley.com/documents/?uuid=2c9639f8-4c59-45a2-b6f0-24adb24d96d1"]},{"id":"ITEM-9","itemData":{"DOI":"10.1186/s12879-022-07666-y","ISSN":"14712334","PMID":"35971063","abstract":"Background: Significant immune escape by the Omicron variant, along with the emergence of widespread worry fatigue, have called into question the robustness of the previously observed relation between population mobility and COVID-19 incidence. Methods: We employed principal component analysis to construct a one-dimensional summary indicator of six Google mobility categories. We related this mobility indicator to case incidence among 111 of the most populous U.S. counties during the Omicron surge from December 2021 through February 2022. Results: Reported COVID-19 incidence peaked earlier and declined more rapidly among those counties exhibiting more extensive decline in mobility between December 20 and January 3. Based upon a fixed-effects, longitudinal cohort model, we estimated that every 1% decline in mobility between December 20 and January 3 was associated with a 0.63% decline in peak incidence during the week ending January 17 (95% confidence interval, 0.40–0.86%). Based upon a cross-sectional analysis including mean household size and vaccination participation as covariates, we estimated that the same 1% decline in mobility was associated with a 0.36% decline in cumulative reported COVID-19 incidence from January 10 through February 28 (95% CI, 0.18–0.54%). Conclusion: Omicron did not simply sweep through the U.S. population until it ran out of susceptible individuals to infect. To the contrary, a significant fraction managed to avoid infection by engaging in risk-mitigating behaviors. More broadly, the behavioral response to perceived risk should be viewed as an intrinsic component of the natural course of epidemics in humans.","author":[{"dropping-particle":"","family":"Harris","given":"Jeffrey E.","non-dropping-particle":"","parse-names":false,"suffix":""}],"container-title":"BMC Infectious Diseases","id":"ITEM-9","issue":"1","issued":{"date-parts":[["2022"]]},"page":"1-11","publisher":"BioMed Central","title":"Mobility was a significant determinant of reported COVID-19 incidence during the Omicron Surge in the most populous U.S. Counties","type":"article-journal","volume":"22"},"uris":["http://www.mendeley.com/documents/?uuid=24a19fac-2b43-40ba-b446-4c69a3a465d4"]}],"mendeley":{"formattedCitation":"(&lt;i&gt;2&lt;/i&gt;–&lt;i&gt;10&lt;/i&gt;)","plainTextFormattedCitation":"(2–10)","previouslyFormattedCitation":"(&lt;i&gt;2&lt;/i&gt;–&lt;i&gt;10&lt;/i&gt;)"},"properties":{"noteIndex":0},"schema":"https://github.com/citation-style-language/schema/raw/master/csl-citation.json"}</w:instrText>
      </w:r>
      <w:r w:rsidR="00147B78" w:rsidRPr="004465BD">
        <w:rPr>
          <w:rFonts w:cs="Times New Roman"/>
        </w:rPr>
        <w:fldChar w:fldCharType="separate"/>
      </w:r>
      <w:r w:rsidR="003F28AA" w:rsidRPr="004465BD">
        <w:rPr>
          <w:rFonts w:cs="Times New Roman"/>
          <w:noProof/>
        </w:rPr>
        <w:t>(</w:t>
      </w:r>
      <w:r w:rsidR="003F28AA" w:rsidRPr="004465BD">
        <w:rPr>
          <w:rFonts w:cs="Times New Roman"/>
          <w:i/>
          <w:noProof/>
        </w:rPr>
        <w:t>2</w:t>
      </w:r>
      <w:r w:rsidR="003F28AA" w:rsidRPr="004465BD">
        <w:rPr>
          <w:rFonts w:cs="Times New Roman"/>
          <w:noProof/>
        </w:rPr>
        <w:t>–</w:t>
      </w:r>
      <w:r w:rsidR="003F28AA" w:rsidRPr="004465BD">
        <w:rPr>
          <w:rFonts w:cs="Times New Roman"/>
          <w:i/>
          <w:noProof/>
        </w:rPr>
        <w:t>10</w:t>
      </w:r>
      <w:r w:rsidR="003F28AA" w:rsidRPr="004465BD">
        <w:rPr>
          <w:rFonts w:cs="Times New Roman"/>
          <w:noProof/>
        </w:rPr>
        <w:t>)</w:t>
      </w:r>
      <w:r w:rsidR="00147B78" w:rsidRPr="004465BD">
        <w:rPr>
          <w:rFonts w:cs="Times New Roman"/>
        </w:rPr>
        <w:fldChar w:fldCharType="end"/>
      </w:r>
      <w:r w:rsidR="00147B78" w:rsidRPr="004465BD">
        <w:rPr>
          <w:rFonts w:cs="Times New Roman"/>
        </w:rPr>
        <w:t>.</w:t>
      </w:r>
      <w:r w:rsidR="00A47447" w:rsidRPr="004465BD">
        <w:rPr>
          <w:rFonts w:cs="Times New Roman"/>
        </w:rPr>
        <w:t xml:space="preserve"> </w:t>
      </w:r>
      <w:r w:rsidR="008C7C59" w:rsidRPr="004465BD">
        <w:rPr>
          <w:rFonts w:cs="Times New Roman"/>
        </w:rPr>
        <w:t>For example, Glaeser et al. 2022</w:t>
      </w:r>
      <w:r w:rsidR="003F0696" w:rsidRPr="004465BD">
        <w:rPr>
          <w:rFonts w:cs="Times New Roman"/>
        </w:rPr>
        <w:t xml:space="preserve"> </w:t>
      </w:r>
      <w:r w:rsidR="003F0696" w:rsidRPr="004465BD">
        <w:rPr>
          <w:rFonts w:cs="Times New Roman"/>
        </w:rPr>
        <w:fldChar w:fldCharType="begin" w:fldLock="1"/>
      </w:r>
      <w:r w:rsidR="003F0696" w:rsidRPr="004465BD">
        <w:rPr>
          <w:rFonts w:cs="Times New Roman"/>
        </w:rPr>
        <w:instrText>ADDIN CSL_CITATION {"citationItems":[{"id":"ITEM-1","itemData":{"DOI":"10.1016/j.jue.2020.103292","ISSN":"00941190","abstract":"How effective are restrictions on mobility in limiting COVID-19 spread? Using zip code data across five U.S. cities, we estimate that total cases per capita decrease by 19% for every ten percentage point fall in mobility. Addressing endogeneity concerns, we instrument for travel by residential teleworkable and essential shares and find a 25% decline in cases per capita. Using panel data for NYC with week and zip code fixed effects, we estimate a decline of 30%. We find substantial spatial and temporal heterogeneity; east coast cities have stronger effects, with the largest for NYC in the pandemic's early stages.","author":[{"dropping-particle":"","family":"Glaeser","given":"Edward L.","non-dropping-particle":"","parse-names":false,"suffix":""},{"dropping-particle":"","family":"Gorback","given":"Caitlin","non-dropping-particle":"","parse-names":false,"suffix":""},{"dropping-particle":"","family":"Redding","given":"Stephen J.","non-dropping-particle":"","parse-names":false,"suffix":""}],"container-title":"Journal of Urban Economics","id":"ITEM-1","issue":"July 2020","issued":{"date-parts":[["2022"]]},"publisher":"Elsevier Inc.","title":"JUE Insight: How much does COVID-19 increase with mobility? Evidence from New York and four other U.S. cities","type":"article-journal","volume":"127"},"uris":["http://www.mendeley.com/documents/?uuid=ff2699a1-4b9b-45a5-b409-483a899b4180"]}],"mendeley":{"formattedCitation":"(&lt;i&gt;7&lt;/i&gt;)","plainTextFormattedCitation":"(7)","previouslyFormattedCitation":"(&lt;i&gt;7&lt;/i&gt;)"},"properties":{"noteIndex":0},"schema":"https://github.com/citation-style-language/schema/raw/master/csl-citation.json"}</w:instrText>
      </w:r>
      <w:r w:rsidR="003F0696" w:rsidRPr="004465BD">
        <w:rPr>
          <w:rFonts w:cs="Times New Roman"/>
        </w:rPr>
        <w:fldChar w:fldCharType="separate"/>
      </w:r>
      <w:r w:rsidR="003F0696" w:rsidRPr="004465BD">
        <w:rPr>
          <w:rFonts w:cs="Times New Roman"/>
          <w:noProof/>
        </w:rPr>
        <w:t>(</w:t>
      </w:r>
      <w:r w:rsidR="003F0696" w:rsidRPr="004465BD">
        <w:rPr>
          <w:rFonts w:cs="Times New Roman"/>
          <w:i/>
          <w:noProof/>
        </w:rPr>
        <w:t>7</w:t>
      </w:r>
      <w:r w:rsidR="003F0696" w:rsidRPr="004465BD">
        <w:rPr>
          <w:rFonts w:cs="Times New Roman"/>
          <w:noProof/>
        </w:rPr>
        <w:t>)</w:t>
      </w:r>
      <w:r w:rsidR="003F0696" w:rsidRPr="004465BD">
        <w:rPr>
          <w:rFonts w:cs="Times New Roman"/>
        </w:rPr>
        <w:fldChar w:fldCharType="end"/>
      </w:r>
      <w:r w:rsidR="008C7C59" w:rsidRPr="004465BD">
        <w:rPr>
          <w:rFonts w:cs="Times New Roman"/>
        </w:rPr>
        <w:t xml:space="preserve">  conducted an analysis across five cities in the United States and found that a 10% decrease in mobility tended to decrease the COVID -19 transmission rate  by 19%.</w:t>
      </w:r>
      <w:r w:rsidR="008C7C59" w:rsidRPr="004465BD">
        <w:t xml:space="preserve"> Similarly, </w:t>
      </w:r>
      <w:r w:rsidR="008C7C59" w:rsidRPr="004465BD">
        <w:rPr>
          <w:rFonts w:cs="Times New Roman"/>
        </w:rPr>
        <w:t>Harris</w:t>
      </w:r>
      <w:r w:rsidR="003F0696" w:rsidRPr="004465BD">
        <w:rPr>
          <w:rFonts w:cs="Times New Roman"/>
        </w:rPr>
        <w:t xml:space="preserve">, </w:t>
      </w:r>
      <w:r w:rsidR="008C7C59" w:rsidRPr="004465BD">
        <w:rPr>
          <w:rFonts w:cs="Times New Roman"/>
        </w:rPr>
        <w:t>2022</w:t>
      </w:r>
      <w:r w:rsidR="003F0696" w:rsidRPr="004465BD">
        <w:rPr>
          <w:rFonts w:cs="Times New Roman"/>
        </w:rPr>
        <w:t xml:space="preserve"> </w:t>
      </w:r>
      <w:r w:rsidR="003F0696" w:rsidRPr="004465BD">
        <w:rPr>
          <w:rFonts w:cs="Times New Roman"/>
        </w:rPr>
        <w:fldChar w:fldCharType="begin" w:fldLock="1"/>
      </w:r>
      <w:r w:rsidR="003F0696" w:rsidRPr="004465BD">
        <w:rPr>
          <w:rFonts w:cs="Times New Roman"/>
        </w:rPr>
        <w:instrText>ADDIN CSL_CITATION {"citationItems":[{"id":"ITEM-1","itemData":{"DOI":"10.1186/s12879-022-07666-y","ISSN":"14712334","PMID":"35971063","abstract":"Background: Significant immune escape by the Omicron variant, along with the emergence of widespread worry fatigue, have called into question the robustness of the previously observed relation between population mobility and COVID-19 incidence. Methods: We employed principal component analysis to construct a one-dimensional summary indicator of six Google mobility categories. We related this mobility indicator to case incidence among 111 of the most populous U.S. counties during the Omicron surge from December 2021 through February 2022. Results: Reported COVID-19 incidence peaked earlier and declined more rapidly among those counties exhibiting more extensive decline in mobility between December 20 and January 3. Based upon a fixed-effects, longitudinal cohort model, we estimated that every 1% decline in mobility between December 20 and January 3 was associated with a 0.63% decline in peak incidence during the week ending January 17 (95% confidence interval, 0.40–0.86%). Based upon a cross-sectional analysis including mean household size and vaccination participation as covariates, we estimated that the same 1% decline in mobility was associated with a 0.36% decline in cumulative reported COVID-19 incidence from January 10 through February 28 (95% CI, 0.18–0.54%). Conclusion: Omicron did not simply sweep through the U.S. population until it ran out of susceptible individuals to infect. To the contrary, a significant fraction managed to avoid infection by engaging in risk-mitigating behaviors. More broadly, the behavioral response to perceived risk should be viewed as an intrinsic component of the natural course of epidemics in humans.","author":[{"dropping-particle":"","family":"Harris","given":"Jeffrey E.","non-dropping-particle":"","parse-names":false,"suffix":""}],"container-title":"BMC Infectious Diseases","id":"ITEM-1","issue":"1","issued":{"date-parts":[["2022"]]},"page":"1-11","publisher":"BioMed Central","title":"Mobility was a significant determinant of reported COVID-19 incidence during the Omicron Surge in the most populous U.S. Counties","type":"article-journal","volume":"22"},"uris":["http://www.mendeley.com/documents/?uuid=24a19fac-2b43-40ba-b446-4c69a3a465d4"]}],"mendeley":{"formattedCitation":"(&lt;i&gt;10&lt;/i&gt;)","plainTextFormattedCitation":"(10)","previouslyFormattedCitation":"(&lt;i&gt;10&lt;/i&gt;)"},"properties":{"noteIndex":0},"schema":"https://github.com/citation-style-language/schema/raw/master/csl-citation.json"}</w:instrText>
      </w:r>
      <w:r w:rsidR="003F0696" w:rsidRPr="004465BD">
        <w:rPr>
          <w:rFonts w:cs="Times New Roman"/>
        </w:rPr>
        <w:fldChar w:fldCharType="separate"/>
      </w:r>
      <w:r w:rsidR="003F0696" w:rsidRPr="004465BD">
        <w:rPr>
          <w:rFonts w:cs="Times New Roman"/>
          <w:noProof/>
        </w:rPr>
        <w:t>(</w:t>
      </w:r>
      <w:r w:rsidR="003F0696" w:rsidRPr="004465BD">
        <w:rPr>
          <w:rFonts w:cs="Times New Roman"/>
          <w:i/>
          <w:noProof/>
        </w:rPr>
        <w:t>10</w:t>
      </w:r>
      <w:r w:rsidR="003F0696" w:rsidRPr="004465BD">
        <w:rPr>
          <w:rFonts w:cs="Times New Roman"/>
          <w:noProof/>
        </w:rPr>
        <w:t>)</w:t>
      </w:r>
      <w:r w:rsidR="003F0696" w:rsidRPr="004465BD">
        <w:rPr>
          <w:rFonts w:cs="Times New Roman"/>
        </w:rPr>
        <w:fldChar w:fldCharType="end"/>
      </w:r>
      <w:r w:rsidR="008C7C59" w:rsidRPr="004465BD">
        <w:rPr>
          <w:rFonts w:cs="Times New Roman"/>
        </w:rPr>
        <w:t xml:space="preserve"> analyzed</w:t>
      </w:r>
      <w:r w:rsidR="00030DF2" w:rsidRPr="004465BD">
        <w:rPr>
          <w:rFonts w:cs="Times New Roman"/>
        </w:rPr>
        <w:t xml:space="preserve"> data from</w:t>
      </w:r>
      <w:r w:rsidR="008C7C59" w:rsidRPr="004465BD">
        <w:rPr>
          <w:rFonts w:cs="Times New Roman"/>
        </w:rPr>
        <w:t xml:space="preserve"> 111 counties in the US and found that every 1% decline in mobility during Week 1 could reduce COVID-19 transmission by 0.63% by the end of Week 3. </w:t>
      </w:r>
      <w:r w:rsidR="006C3EC6" w:rsidRPr="004465BD">
        <w:rPr>
          <w:rFonts w:cs="Times New Roman"/>
        </w:rPr>
        <w:t xml:space="preserve">In a related vein, some research efforts have utilized stay-at-home orders as a proxy for reduced mobility. For instance, </w:t>
      </w:r>
      <w:r w:rsidR="006C3EC6" w:rsidRPr="004465BD">
        <w:rPr>
          <w:rFonts w:cs="Times New Roman"/>
        </w:rPr>
        <w:fldChar w:fldCharType="begin" w:fldLock="1"/>
      </w:r>
      <w:r w:rsidR="003F0696" w:rsidRPr="004465BD">
        <w:rPr>
          <w:rFonts w:cs="Times New Roman"/>
        </w:rPr>
        <w:instrText>ADDIN CSL_CITATION {"citationItems":[{"id":"ITEM-1","itemData":{"DOI":"10.3386/w26992","ISSN":"0898-2937","abstract":"Apathy is the neuropsychiatric symptom that correlates most highly with Huntington's disease progression, and, like early patterns of neurodegeneration, is associated with lesions to cortico-striatal connections. However, due to its multidimensional nature and elusive etiology, treatment options are limited. Objectives: To disentangle underlying white matter microstructural correlates across the apathy spectrum in Huntington's disease. Methods: Forty-six Huntington's disease individuals (premanifest (N=22) and manifest (N=24)) and 35 healthy controls were scanned at 3-tesla and underwent apathy evaluation using the short-Problem Behavior Assessment and short-Lille Apathy Rating Scale, with the latter being characterized into three apathy domains, namely emotional, cognitive, and auto-activation deficit. Diffusion- tensor imaging was used to study whether individual differences in specific cortico-striatal tracts predicted apathy symptoms and domains. Results: We elucidate that apathy profiles may develop along differential timelines, with the auto-activation deficit domain manifesting prior to motor onset. Furthermore, diffusion-tensor imaging revealed that inter- individual variability in the disruption of discrete cortico-striatal tracts might explain the heterogeneous severity of apathy profiles. Specifically, higher levels of auto-activation deficit symptoms significantly correlated with increased mean diffusivity in the right uncinate fasciculus. Conversely, those with severe cognitive apathy demonstrated increased mean diffusivity in the right frontostriatal tract and left dorsolateral prefrontal cortex to caudate nucleus tract. Conclusions: The current study provides evidence that white matter correlates associated with emotional, cognitive, and auto-activation subtypes may elucidate the heterogeneous nature of apathy in Huntington's disease, as such opening a door for individualized pharmacological management of multidimensional apathy symptoms in other neurodegenerative disorders.","author":[{"dropping-particle":"","family":"Friedson","given":"Andrew","non-dropping-particle":"","parse-names":false,"suffix":""},{"dropping-particle":"","family":"McNichols","given":"Drew","non-dropping-particle":"","parse-names":false,"suffix":""},{"dropping-particle":"","family":"Sabia","given":"Joseph","non-dropping-particle":"","parse-names":false,"suffix":""},{"dropping-particle":"","family":"Dave","given":"Dhaval","non-dropping-particle":"","parse-names":false,"suffix":""}],"container-title":"National Bureau of Economic Research","id":"ITEM-1","issued":{"date-parts":[["2020"]]},"title":"Did California's Shelter-In-Place Order Work? Early Coronavirus-Related Public Health Effects","type":"article-journal"},"uris":["http://www.mendeley.com/documents/?uuid=bc3c8d78-aaa5-4f6a-bd97-fabbedfb136b"]}],"mendeley":{"formattedCitation":"(&lt;i&gt;3&lt;/i&gt;)","manualFormatting":"Friedson et al., 2020","plainTextFormattedCitation":"(3)","previouslyFormattedCitation":"(&lt;i&gt;3&lt;/i&gt;)"},"properties":{"noteIndex":0},"schema":"https://github.com/citation-style-language/schema/raw/master/csl-citation.json"}</w:instrText>
      </w:r>
      <w:r w:rsidR="006C3EC6" w:rsidRPr="004465BD">
        <w:rPr>
          <w:rFonts w:cs="Times New Roman"/>
        </w:rPr>
        <w:fldChar w:fldCharType="separate"/>
      </w:r>
      <w:r w:rsidR="006C3EC6" w:rsidRPr="004465BD">
        <w:rPr>
          <w:rFonts w:cs="Times New Roman"/>
          <w:noProof/>
        </w:rPr>
        <w:t>Friedson et al., 2020</w:t>
      </w:r>
      <w:r w:rsidR="006C3EC6" w:rsidRPr="004465BD">
        <w:rPr>
          <w:rFonts w:cs="Times New Roman"/>
        </w:rPr>
        <w:fldChar w:fldCharType="end"/>
      </w:r>
      <w:r w:rsidR="006C3EC6" w:rsidRPr="004465BD">
        <w:rPr>
          <w:rFonts w:cs="Times New Roman"/>
        </w:rPr>
        <w:t xml:space="preserve"> </w:t>
      </w:r>
      <w:r w:rsidR="006C3EC6" w:rsidRPr="004465BD">
        <w:rPr>
          <w:rFonts w:cs="Times New Roman"/>
        </w:rPr>
        <w:fldChar w:fldCharType="begin" w:fldLock="1"/>
      </w:r>
      <w:r w:rsidR="003F0696" w:rsidRPr="004465BD">
        <w:rPr>
          <w:rFonts w:cs="Times New Roman"/>
        </w:rPr>
        <w:instrText>ADDIN CSL_CITATION {"citationItems":[{"id":"ITEM-1","itemData":{"DOI":"10.3386/w26992","ISSN":"0898-2937","abstract":"Apathy is the neuropsychiatric symptom that correlates most highly with Huntington's disease progression, and, like early patterns of neurodegeneration, is associated with lesions to cortico-striatal connections. However, due to its multidimensional nature and elusive etiology, treatment options are limited. Objectives: To disentangle underlying white matter microstructural correlates across the apathy spectrum in Huntington's disease. Methods: Forty-six Huntington's disease individuals (premanifest (N=22) and manifest (N=24)) and 35 healthy controls were scanned at 3-tesla and underwent apathy evaluation using the short-Problem Behavior Assessment and short-Lille Apathy Rating Scale, with the latter being characterized into three apathy domains, namely emotional, cognitive, and auto-activation deficit. Diffusion- tensor imaging was used to study whether individual differences in specific cortico-striatal tracts predicted apathy symptoms and domains. Results: We elucidate that apathy profiles may develop along differential timelines, with the auto-activation deficit domain manifesting prior to motor onset. Furthermore, diffusion-tensor imaging revealed that inter- individual variability in the disruption of discrete cortico-striatal tracts might explain the heterogeneous severity of apathy profiles. Specifically, higher levels of auto-activation deficit symptoms significantly correlated with increased mean diffusivity in the right uncinate fasciculus. Conversely, those with severe cognitive apathy demonstrated increased mean diffusivity in the right frontostriatal tract and left dorsolateral prefrontal cortex to caudate nucleus tract. Conclusions: The current study provides evidence that white matter correlates associated with emotional, cognitive, and auto-activation subtypes may elucidate the heterogeneous nature of apathy in Huntington's disease, as such opening a door for individualized pharmacological management of multidimensional apathy symptoms in other neurodegenerative disorders.","author":[{"dropping-particle":"","family":"Friedson","given":"Andrew","non-dropping-particle":"","parse-names":false,"suffix":""},{"dropping-particle":"","family":"McNichols","given":"Drew","non-dropping-particle":"","parse-names":false,"suffix":""},{"dropping-particle":"","family":"Sabia","given":"Joseph","non-dropping-particle":"","parse-names":false,"suffix":""},{"dropping-particle":"","family":"Dave","given":"Dhaval","non-dropping-particle":"","parse-names":false,"suffix":""}],"container-title":"National Bureau of Economic Research","id":"ITEM-1","issued":{"date-parts":[["2020"]]},"title":"Did California's Shelter-In-Place Order Work? Early Coronavirus-Related Public Health Effects","type":"article-journal"},"uris":["http://www.mendeley.com/documents/?uuid=bc3c8d78-aaa5-4f6a-bd97-fabbedfb136b"]}],"mendeley":{"formattedCitation":"(&lt;i&gt;3&lt;/i&gt;)","plainTextFormattedCitation":"(3)","previouslyFormattedCitation":"(&lt;i&gt;3&lt;/i&gt;)"},"properties":{"noteIndex":0},"schema":"https://github.com/citation-style-language/schema/raw/master/csl-citation.json"}</w:instrText>
      </w:r>
      <w:r w:rsidR="006C3EC6" w:rsidRPr="004465BD">
        <w:rPr>
          <w:rFonts w:cs="Times New Roman"/>
        </w:rPr>
        <w:fldChar w:fldCharType="separate"/>
      </w:r>
      <w:r w:rsidR="003F28AA" w:rsidRPr="004465BD">
        <w:rPr>
          <w:rFonts w:cs="Times New Roman"/>
          <w:noProof/>
        </w:rPr>
        <w:t>(</w:t>
      </w:r>
      <w:r w:rsidR="003F28AA" w:rsidRPr="004465BD">
        <w:rPr>
          <w:rFonts w:cs="Times New Roman"/>
          <w:i/>
          <w:noProof/>
        </w:rPr>
        <w:t>3</w:t>
      </w:r>
      <w:r w:rsidR="003F28AA" w:rsidRPr="004465BD">
        <w:rPr>
          <w:rFonts w:cs="Times New Roman"/>
          <w:noProof/>
        </w:rPr>
        <w:t>)</w:t>
      </w:r>
      <w:r w:rsidR="006C3EC6" w:rsidRPr="004465BD">
        <w:rPr>
          <w:rFonts w:cs="Times New Roman"/>
        </w:rPr>
        <w:fldChar w:fldCharType="end"/>
      </w:r>
      <w:r w:rsidR="006C3EC6" w:rsidRPr="004465BD">
        <w:rPr>
          <w:rFonts w:cs="Times New Roman"/>
        </w:rPr>
        <w:t xml:space="preserve"> found that the imposition of stay at home orders in California resulted in a reduction of about 200 COVID-19 cases per 100K population and about 1,600 fewer deaths. </w:t>
      </w:r>
      <w:r w:rsidR="008C7C59" w:rsidRPr="004465BD">
        <w:rPr>
          <w:rFonts w:cs="Times New Roman"/>
        </w:rPr>
        <w:t>Inoue and Okimoto</w:t>
      </w:r>
      <w:r w:rsidR="003F0696" w:rsidRPr="004465BD">
        <w:rPr>
          <w:rFonts w:cs="Times New Roman"/>
        </w:rPr>
        <w:t xml:space="preserve">, </w:t>
      </w:r>
      <w:r w:rsidR="008C7C59" w:rsidRPr="004465BD">
        <w:rPr>
          <w:rFonts w:cs="Times New Roman"/>
        </w:rPr>
        <w:t>2023</w:t>
      </w:r>
      <w:r w:rsidR="003F0696" w:rsidRPr="004465BD">
        <w:rPr>
          <w:rFonts w:cs="Times New Roman"/>
        </w:rPr>
        <w:t xml:space="preserve"> </w:t>
      </w:r>
      <w:r w:rsidR="003F0696" w:rsidRPr="004465BD">
        <w:rPr>
          <w:rFonts w:cs="Times New Roman"/>
        </w:rPr>
        <w:fldChar w:fldCharType="begin" w:fldLock="1"/>
      </w:r>
      <w:r w:rsidR="00A02DAA" w:rsidRPr="004465BD">
        <w:rPr>
          <w:rFonts w:cs="Times New Roman"/>
        </w:rPr>
        <w:instrText>ADDIN CSL_CITATION {"citationItems":[{"id":"ITEM-1","itemData":{"DOI":"10.1080/00036846.2023.2269630","ISSN":"14664283","abstract":"The novel coronavirus disease 2019 (COVID-19) outbreak has caused tremendous turmoil worldwide and is yet to be contained. Therefore, mitigating the number of people infected by COVID-19 remains a fundamental policy goal for several countries. This study aims to analyse the dynamic relationship between mobility and the rate of change in the number of new infections (NNIs) in Japan. Another goal is to evaluate the effects of various policies, such as mobility control and vaccination, as well as the impact of climate factors on the NNIs. The analysis reveals a strong positive relationship between the growth rate of the NNIs and mobility. Our results also indicate that the government-imposed measure of regulating mobility shows a weaker effect on preventing the spread of infection, as the emergency declaration is repeatedly invoked. By contrast, the recent increase in the infection rate seems to reduce the spread of infection by inducing voluntary restraint, and this phenomenon has become even stronger in the recent period. Regarding the effect of vaccination, the results demonstrate little effect on attenuating the spread of infection. However, it has significantly weakened the mobility–spread relationship, suggesting that it may help in the implementation of economic revitalization policies.","author":[{"dropping-particle":"","family":"Inoue","given":"Tomoo","non-dropping-particle":"","parse-names":false,"suffix":""},{"dropping-particle":"","family":"Okimoto","given":"Tatsuyoshi","non-dropping-particle":"","parse-names":false,"suffix":""}],"container-title":"Applied Economics","id":"ITEM-1","issue":"00","issued":{"date-parts":[["2023"]]},"page":"1-15","publisher":"Routledge","title":"Exploring the dynamic relationship between mobility and the spread of COVID-19, and the role of vaccines","type":"article-journal","volume":"00"},"uris":["http://www.mendeley.com/documents/?uuid=2c9639f8-4c59-45a2-b6f0-24adb24d96d1"]}],"mendeley":{"formattedCitation":"(&lt;i&gt;9&lt;/i&gt;)","plainTextFormattedCitation":"(9)","previouslyFormattedCitation":"(&lt;i&gt;9&lt;/i&gt;)"},"properties":{"noteIndex":0},"schema":"https://github.com/citation-style-language/schema/raw/master/csl-citation.json"}</w:instrText>
      </w:r>
      <w:r w:rsidR="003F0696" w:rsidRPr="004465BD">
        <w:rPr>
          <w:rFonts w:cs="Times New Roman"/>
        </w:rPr>
        <w:fldChar w:fldCharType="separate"/>
      </w:r>
      <w:r w:rsidR="003F0696" w:rsidRPr="004465BD">
        <w:rPr>
          <w:rFonts w:cs="Times New Roman"/>
          <w:noProof/>
        </w:rPr>
        <w:t>(</w:t>
      </w:r>
      <w:r w:rsidR="003F0696" w:rsidRPr="004465BD">
        <w:rPr>
          <w:rFonts w:cs="Times New Roman"/>
          <w:i/>
          <w:noProof/>
        </w:rPr>
        <w:t>9</w:t>
      </w:r>
      <w:r w:rsidR="003F0696" w:rsidRPr="004465BD">
        <w:rPr>
          <w:rFonts w:cs="Times New Roman"/>
          <w:noProof/>
        </w:rPr>
        <w:t>)</w:t>
      </w:r>
      <w:r w:rsidR="003F0696" w:rsidRPr="004465BD">
        <w:rPr>
          <w:rFonts w:cs="Times New Roman"/>
        </w:rPr>
        <w:fldChar w:fldCharType="end"/>
      </w:r>
      <w:r w:rsidR="008C7C59" w:rsidRPr="004465BD">
        <w:rPr>
          <w:rFonts w:cs="Times New Roman"/>
        </w:rPr>
        <w:t xml:space="preserve"> further supported these findings by demonstrating that the declaration of a State of Emergency (SOE) and stay-at-home orders significantly curtailed the COVID-19 transmission rate, underscoring the effectiveness of mobility restrictions in controlling the spread of the virus.</w:t>
      </w:r>
      <w:r w:rsidR="008E431D" w:rsidRPr="004465BD">
        <w:rPr>
          <w:rFonts w:cs="Times New Roman"/>
        </w:rPr>
        <w:t xml:space="preserve"> On the other hand, several studies have focused on understanding the impact of COVID-19 on people's mobility or travel behavior</w:t>
      </w:r>
      <w:r w:rsidR="00C57D0F" w:rsidRPr="004465BD">
        <w:rPr>
          <w:rFonts w:cs="Times New Roman"/>
        </w:rPr>
        <w:fldChar w:fldCharType="begin" w:fldLock="1"/>
      </w:r>
      <w:r w:rsidR="003A5A4F" w:rsidRPr="004465BD">
        <w:rPr>
          <w:rFonts w:cs="Times New Roman"/>
        </w:rPr>
        <w:instrText>ADDIN CSL_CITATION {"citationItems":[{"id":"ITEM-1","itemData":{"DOI":"10.1177/03611981221131812","ISSN":"21694052","abstract":"The COVID-19 pandemic disrupted typical travel behavior worldwide. In the United States (U.S.), government entities took action to limit its spread through public health messaging to encourage reduced mobility and thus reduce the spread of the virus. Within statewide responses to COVID-19, however, there were different responses locally. Likely some of these variations were a result of individual attitudes toward the government and health messaging, but there is also likely a portion of the effects that were because of the character of the communities. In this research, we summarize county-level characteristics that are known to affect travel behavior for 404 counties in the U.S., and we investigate correlates of mobility between April and September (2020). We do this through application of three metrics that are derived via changepoint analysis—initial post-disruption mobility index, changepoint on restoration of a ‘‘new normal,’’ and recovered mobility index. We find that variables for employment sectors are significantly correlated and had large effects on mobility during the pandemic. The state dummy variables are significant, suggesting that counties within the same state behaved more similarly to one another than to counties in different states. Our findings indicate that few travel characteristics that typically correlate with travel behavior are related to pandemic mobility, and that the number of COVID-19 cases may not be correlated with mobility outcomes.","author":[{"dropping-particle":"","family":"Panik","given":"Rachael Thompson","non-dropping-particle":"","parse-names":false,"suffix":""},{"dropping-particle":"","family":"Watkins","given":"Kari","non-dropping-particle":"","parse-names":false,"suffix":""},{"dropping-particle":"","family":"Ederer","given":"David","non-dropping-particle":"","parse-names":false,"suffix":""}],"container-title":"Transportation Research Record","id":"ITEM-1","issue":"4","issued":{"date-parts":[["2023"]]},"page":"583-596","title":"Metrics of Mobility: Assessing the Impact of COVID-19 on Travel Behavior","type":"article-journal","volume":"2677"},"uris":["http://www.mendeley.com/documents/?uuid=e806801b-972e-406b-bd31-371d43cfd915"]},{"id":"ITEM-2","itemData":{"DOI":"10.1109/BigData55660.2022.10020695","ISBN":"9781665480451","abstract":"COVID-19 has dramatically changed people's mobility patterns. This report aims to analyze the impact of COVID-19 on people's mobility through statistics and comparing the visits of POIs (Point-Of-Interests) in New York State in 2019 and 2020. The report uses data from SafeGraph, which is a data company. The raw data contains POI visits across the United States in 2019 and 2020. Considering the analysis size and difficulty of the data, POI visits from New York State are extracted for analysis, and POI locations are classified according to the tags provided by the source data. The scale of analysis is from macro to micro, and they are the total POI visits data of New York State based on different ways in 2019 and 2020, the POI visits of CBG (Census Block Group) division in New York City, and three representative POI samples to do individual analysis. The analysis methods are: (1) use line plot and bar plot statistics to compare the trends of POI visits data from 2019 to 2020, and (2) make the spatial visualization comparison, which includes grid map, scatter map, heatmap, and OD map, between the first peak of epidemic impact in the first full week of April 2019 and April 2020, and the scope is narrowed to New York City. Wherein the OD maps are drawn based on the CBG division. Compared to related work, the analysis object includes CBG, categories, and individual POI. In addition, the analysis method combines statistical graphs and spatial visualizations and explores the policy impact of the New York City government. This report adopts more multidimensional analysis methods and objects to improve the comprehensiveness and reliability of the analysis content.","author":[{"dropping-particle":"","family":"Hao","given":"Xinchen","non-dropping-particle":"","parse-names":false,"suffix":""},{"dropping-particle":"","family":"Jiang","given":"Renhe","non-dropping-particle":"","parse-names":false,"suffix":""},{"dropping-particle":"","family":"Deng","given":"Jiewen","non-dropping-particle":"","parse-names":false,"suffix":""},{"dropping-particle":"","family":"Song","given":"Xuan","non-dropping-particle":"","parse-names":false,"suffix":""}],"container-title":"Proceedings - 2022 IEEE International Conference on Big Data, Big Data 2022","id":"ITEM-2","issued":{"date-parts":[["2022"]]},"page":"4365-4374","publisher":"IEEE","title":"The Impact of COVID-19 on Human Mobility: A Case Study on New York","type":"article-journal"},"uris":["http://www.mendeley.com/documents/?uuid=3c5d72fb-ed3b-458b-b1dc-9ade95b32df2"]},{"id":"ITEM-3","itemData":{"DOI":"10.2139/ssrn.3565703","ISSN":"1556-5068","abstract":"We combine GPS data on changes in average distance travelled by individuals at the county level with Covid-19 case data and other demographic information to estimate how individual mobility is affected by local disease prevalence and restriction orders to stay at home. We find that a rise of local infection rate from 0% to 0.003%4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Journal","id":"ITEM-3","issued":{"date-parts":[["2020"]]},"title":"Staying at Home: Mobility Effects of COVID-19","type":"article-journal"},"uris":["http://www.mendeley.com/documents/?uuid=4b50d03b-a982-4195-8d8b-fa2c902b7907"]}],"mendeley":{"formattedCitation":"(&lt;i&gt;2&lt;/i&gt;, &lt;i&gt;11&lt;/i&gt;, &lt;i&gt;12&lt;/i&gt;)","plainTextFormattedCitation":"(2, 11, 12)","previouslyFormattedCitation":"(&lt;i&gt;2&lt;/i&gt;, &lt;i&gt;11&lt;/i&gt;, &lt;i&gt;12&lt;/i&gt;)"},"properties":{"noteIndex":0},"schema":"https://github.com/citation-style-language/schema/raw/master/csl-citation.json"}</w:instrText>
      </w:r>
      <w:r w:rsidR="00C57D0F" w:rsidRPr="004465BD">
        <w:rPr>
          <w:rFonts w:cs="Times New Roman"/>
        </w:rPr>
        <w:fldChar w:fldCharType="separate"/>
      </w:r>
      <w:r w:rsidR="00794DDD" w:rsidRPr="004465BD">
        <w:rPr>
          <w:rFonts w:cs="Times New Roman"/>
          <w:noProof/>
        </w:rPr>
        <w:t>(</w:t>
      </w:r>
      <w:r w:rsidR="00794DDD" w:rsidRPr="004465BD">
        <w:rPr>
          <w:rFonts w:cs="Times New Roman"/>
          <w:i/>
          <w:noProof/>
        </w:rPr>
        <w:t>2</w:t>
      </w:r>
      <w:r w:rsidR="00794DDD" w:rsidRPr="004465BD">
        <w:rPr>
          <w:rFonts w:cs="Times New Roman"/>
          <w:noProof/>
        </w:rPr>
        <w:t xml:space="preserve">, </w:t>
      </w:r>
      <w:r w:rsidR="00794DDD" w:rsidRPr="004465BD">
        <w:rPr>
          <w:rFonts w:cs="Times New Roman"/>
          <w:i/>
          <w:noProof/>
        </w:rPr>
        <w:t>11</w:t>
      </w:r>
      <w:r w:rsidR="00794DDD" w:rsidRPr="004465BD">
        <w:rPr>
          <w:rFonts w:cs="Times New Roman"/>
          <w:noProof/>
        </w:rPr>
        <w:t xml:space="preserve">, </w:t>
      </w:r>
      <w:r w:rsidR="00794DDD" w:rsidRPr="004465BD">
        <w:rPr>
          <w:rFonts w:cs="Times New Roman"/>
          <w:i/>
          <w:noProof/>
        </w:rPr>
        <w:t>12</w:t>
      </w:r>
      <w:r w:rsidR="00794DDD" w:rsidRPr="004465BD">
        <w:rPr>
          <w:rFonts w:cs="Times New Roman"/>
          <w:noProof/>
        </w:rPr>
        <w:t>)</w:t>
      </w:r>
      <w:r w:rsidR="00C57D0F" w:rsidRPr="004465BD">
        <w:rPr>
          <w:rFonts w:cs="Times New Roman"/>
        </w:rPr>
        <w:fldChar w:fldCharType="end"/>
      </w:r>
      <w:r w:rsidR="008E431D" w:rsidRPr="004465BD">
        <w:rPr>
          <w:rFonts w:cs="Times New Roman"/>
        </w:rPr>
        <w:t>.</w:t>
      </w:r>
      <w:r w:rsidR="008E431D" w:rsidRPr="004465BD">
        <w:rPr>
          <w:shd w:val="clear" w:color="auto" w:fill="FFFFFF"/>
        </w:rPr>
        <w:t xml:space="preserve"> For instance, </w:t>
      </w:r>
      <w:r w:rsidR="008E431D" w:rsidRPr="004465BD">
        <w:rPr>
          <w:shd w:val="clear" w:color="auto" w:fill="FFFFFF"/>
        </w:rPr>
        <w:fldChar w:fldCharType="begin" w:fldLock="1"/>
      </w:r>
      <w:r w:rsidR="008E431D" w:rsidRPr="004465BD">
        <w:rPr>
          <w:shd w:val="clear" w:color="auto" w:fill="FFFFFF"/>
        </w:rPr>
        <w:instrText>ADDIN CSL_CITATION {"citationItems":[{"id":"ITEM-1","itemData":{"DOI":"10.2139/ssrn.3565703","ISSN":"1556-5068","abstract":"We combine GPS data on changes in average distance travelled by individuals at the county level with Covid-19 case data and other demographic information to estimate how individual mobility is affected by local disease prevalence and restriction orders to stay at home. We find that a rise of local infection rate from 0% to 0.003%4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Journal","id":"ITEM-1","issued":{"date-parts":[["2020"]]},"title":"Staying at Home: Mobility Effects of COVID-19","type":"article-journal"},"uris":["http://www.mendeley.com/documents/?uuid=4b50d03b-a982-4195-8d8b-fa2c902b7907"]}],"mendeley":{"formattedCitation":"(&lt;i&gt;2&lt;/i&gt;)","manualFormatting":"Engle et al., 2020","plainTextFormattedCitation":"(2)","previouslyFormattedCitation":"(&lt;i&gt;2&lt;/i&gt;)"},"properties":{"noteIndex":0},"schema":"https://github.com/citation-style-language/schema/raw/master/csl-citation.json"}</w:instrText>
      </w:r>
      <w:r w:rsidR="008E431D" w:rsidRPr="004465BD">
        <w:rPr>
          <w:shd w:val="clear" w:color="auto" w:fill="FFFFFF"/>
        </w:rPr>
        <w:fldChar w:fldCharType="separate"/>
      </w:r>
      <w:r w:rsidR="008E431D" w:rsidRPr="004465BD">
        <w:rPr>
          <w:noProof/>
          <w:shd w:val="clear" w:color="auto" w:fill="FFFFFF"/>
        </w:rPr>
        <w:t>Engle et al., 2020</w:t>
      </w:r>
      <w:r w:rsidR="008E431D" w:rsidRPr="004465BD">
        <w:rPr>
          <w:shd w:val="clear" w:color="auto" w:fill="FFFFFF"/>
        </w:rPr>
        <w:fldChar w:fldCharType="end"/>
      </w:r>
      <w:r w:rsidR="008E431D" w:rsidRPr="004465BD">
        <w:rPr>
          <w:shd w:val="clear" w:color="auto" w:fill="FFFFFF"/>
        </w:rPr>
        <w:t xml:space="preserve"> </w:t>
      </w:r>
      <w:r w:rsidR="008E431D" w:rsidRPr="004465BD">
        <w:rPr>
          <w:shd w:val="clear" w:color="auto" w:fill="FFFFFF"/>
        </w:rPr>
        <w:fldChar w:fldCharType="begin" w:fldLock="1"/>
      </w:r>
      <w:r w:rsidR="008E431D" w:rsidRPr="004465BD">
        <w:rPr>
          <w:shd w:val="clear" w:color="auto" w:fill="FFFFFF"/>
        </w:rPr>
        <w:instrText>ADDIN CSL_CITATION {"citationItems":[{"id":"ITEM-1","itemData":{"DOI":"10.2139/ssrn.3565703","ISSN":"1556-5068","abstract":"We combine GPS data on changes in average distance travelled by individuals at the county level with Covid-19 case data and other demographic information to estimate how individual mobility is affected by local disease prevalence and restriction orders to stay at home. We find that a rise of local infection rate from 0% to 0.003%4 is associated with a reduction in mobility by 2.31%. An official stay-at-home restriction order corresponds to reducing mobility by 7.87%. Counties with larger shares of population over age 65, lower share of votes for the Republican Party in the 2016 presidential election, and higher population density are more responsive to disease prevalence and restriction orders.","author":[{"dropping-particle":"","family":"Engle","given":"Samuel","non-dropping-particle":"","parse-names":false,"suffix":""},{"dropping-particle":"","family":"Stromme","given":"John","non-dropping-particle":"","parse-names":false,"suffix":""},{"dropping-particle":"","family":"Zhou","given":"Anson","non-dropping-particle":"","parse-names":false,"suffix":""}],"container-title":"SSRN Electronic Journal","id":"ITEM-1","issued":{"date-parts":[["2020"]]},"title":"Staying at Home: Mobility Effects of COVID-19","type":"article-journal"},"uris":["http://www.mendeley.com/documents/?uuid=4b50d03b-a982-4195-8d8b-fa2c902b7907"]}],"mendeley":{"formattedCitation":"(&lt;i&gt;2&lt;/i&gt;)","plainTextFormattedCitation":"(2)","previouslyFormattedCitation":"(&lt;i&gt;2&lt;/i&gt;)"},"properties":{"noteIndex":0},"schema":"https://github.com/citation-style-language/schema/raw/master/csl-citation.json"}</w:instrText>
      </w:r>
      <w:r w:rsidR="008E431D" w:rsidRPr="004465BD">
        <w:rPr>
          <w:shd w:val="clear" w:color="auto" w:fill="FFFFFF"/>
        </w:rPr>
        <w:fldChar w:fldCharType="separate"/>
      </w:r>
      <w:r w:rsidR="008E431D" w:rsidRPr="004465BD">
        <w:rPr>
          <w:noProof/>
          <w:shd w:val="clear" w:color="auto" w:fill="FFFFFF"/>
        </w:rPr>
        <w:t>(</w:t>
      </w:r>
      <w:r w:rsidR="008E431D" w:rsidRPr="004465BD">
        <w:rPr>
          <w:i/>
          <w:noProof/>
          <w:shd w:val="clear" w:color="auto" w:fill="FFFFFF"/>
        </w:rPr>
        <w:t>2</w:t>
      </w:r>
      <w:r w:rsidR="008E431D" w:rsidRPr="004465BD">
        <w:rPr>
          <w:noProof/>
          <w:shd w:val="clear" w:color="auto" w:fill="FFFFFF"/>
        </w:rPr>
        <w:t>)</w:t>
      </w:r>
      <w:r w:rsidR="008E431D" w:rsidRPr="004465BD">
        <w:rPr>
          <w:shd w:val="clear" w:color="auto" w:fill="FFFFFF"/>
        </w:rPr>
        <w:fldChar w:fldCharType="end"/>
      </w:r>
      <w:r w:rsidR="008E431D" w:rsidRPr="004465BD">
        <w:rPr>
          <w:shd w:val="clear" w:color="auto" w:fill="FFFFFF"/>
        </w:rPr>
        <w:t xml:space="preserve"> found that people are altering their travel patterns in response to COVID-19 transmission. Specifically, the study found that a 0.003% increase in the COVID-19 transmission rate leads to a 2.3% reduction in mobility. </w:t>
      </w:r>
      <w:r w:rsidR="00C97993" w:rsidRPr="004465BD">
        <w:rPr>
          <w:shd w:val="clear" w:color="auto" w:fill="FFFFFF"/>
        </w:rPr>
        <w:t>Hao et al.</w:t>
      </w:r>
      <w:r w:rsidR="00C57D0F" w:rsidRPr="004465BD">
        <w:rPr>
          <w:shd w:val="clear" w:color="auto" w:fill="FFFFFF"/>
        </w:rPr>
        <w:t xml:space="preserve">2022 </w:t>
      </w:r>
      <w:r w:rsidR="00C57D0F" w:rsidRPr="004465BD">
        <w:rPr>
          <w:shd w:val="clear" w:color="auto" w:fill="FFFFFF"/>
        </w:rPr>
        <w:fldChar w:fldCharType="begin" w:fldLock="1"/>
      </w:r>
      <w:r w:rsidR="003A5A4F" w:rsidRPr="004465BD">
        <w:rPr>
          <w:shd w:val="clear" w:color="auto" w:fill="FFFFFF"/>
        </w:rPr>
        <w:instrText>ADDIN CSL_CITATION {"citationItems":[{"id":"ITEM-1","itemData":{"DOI":"10.1109/BigData55660.2022.10020695","ISBN":"9781665480451","abstract":"COVID-19 has dramatically changed people's mobility patterns. This report aims to analyze the impact of COVID-19 on people's mobility through statistics and comparing the visits of POIs (Point-Of-Interests) in New York State in 2019 and 2020. The report uses data from SafeGraph, which is a data company. The raw data contains POI visits across the United States in 2019 and 2020. Considering the analysis size and difficulty of the data, POI visits from New York State are extracted for analysis, and POI locations are classified according to the tags provided by the source data. The scale of analysis is from macro to micro, and they are the total POI visits data of New York State based on different ways in 2019 and 2020, the POI visits of CBG (Census Block Group) division in New York City, and three representative POI samples to do individual analysis. The analysis methods are: (1) use line plot and bar plot statistics to compare the trends of POI visits data from 2019 to 2020, and (2) make the spatial visualization comparison, which includes grid map, scatter map, heatmap, and OD map, between the first peak of epidemic impact in the first full week of April 2019 and April 2020, and the scope is narrowed to New York City. Wherein the OD maps are drawn based on the CBG division. Compared to related work, the analysis object includes CBG, categories, and individual POI. In addition, the analysis method combines statistical graphs and spatial visualizations and explores the policy impact of the New York City government. This report adopts more multidimensional analysis methods and objects to improve the comprehensiveness and reliability of the analysis content.","author":[{"dropping-particle":"","family":"Hao","given":"Xinchen","non-dropping-particle":"","parse-names":false,"suffix":""},{"dropping-particle":"","family":"Jiang","given":"Renhe","non-dropping-particle":"","parse-names":false,"suffix":""},{"dropping-particle":"","family":"Deng","given":"Jiewen","non-dropping-particle":"","parse-names":false,"suffix":""},{"dropping-particle":"","family":"Song","given":"Xuan","non-dropping-particle":"","parse-names":false,"suffix":""}],"container-title":"Proceedings - 2022 IEEE International Conference on Big Data, Big Data 2022","id":"ITEM-1","issued":{"date-parts":[["2022"]]},"page":"4365-4374","publisher":"IEEE","title":"The Impact of COVID-19 on Human Mobility: A Case Study on New York","type":"article-journal"},"uris":["http://www.mendeley.com/documents/?uuid=3c5d72fb-ed3b-458b-b1dc-9ade95b32df2"]}],"mendeley":{"formattedCitation":"(&lt;i&gt;12&lt;/i&gt;)","plainTextFormattedCitation":"(12)","previouslyFormattedCitation":"(&lt;i&gt;12&lt;/i&gt;)"},"properties":{"noteIndex":0},"schema":"https://github.com/citation-style-language/schema/raw/master/csl-citation.json"}</w:instrText>
      </w:r>
      <w:r w:rsidR="00C57D0F" w:rsidRPr="004465BD">
        <w:rPr>
          <w:shd w:val="clear" w:color="auto" w:fill="FFFFFF"/>
        </w:rPr>
        <w:fldChar w:fldCharType="separate"/>
      </w:r>
      <w:r w:rsidR="00794DDD" w:rsidRPr="004465BD">
        <w:rPr>
          <w:noProof/>
          <w:shd w:val="clear" w:color="auto" w:fill="FFFFFF"/>
        </w:rPr>
        <w:t>(</w:t>
      </w:r>
      <w:r w:rsidR="00794DDD" w:rsidRPr="004465BD">
        <w:rPr>
          <w:i/>
          <w:noProof/>
          <w:shd w:val="clear" w:color="auto" w:fill="FFFFFF"/>
        </w:rPr>
        <w:t>12</w:t>
      </w:r>
      <w:r w:rsidR="00794DDD" w:rsidRPr="004465BD">
        <w:rPr>
          <w:noProof/>
          <w:shd w:val="clear" w:color="auto" w:fill="FFFFFF"/>
        </w:rPr>
        <w:t>)</w:t>
      </w:r>
      <w:r w:rsidR="00C57D0F" w:rsidRPr="004465BD">
        <w:rPr>
          <w:shd w:val="clear" w:color="auto" w:fill="FFFFFF"/>
        </w:rPr>
        <w:fldChar w:fldCharType="end"/>
      </w:r>
      <w:r w:rsidR="00C97993" w:rsidRPr="004465BD">
        <w:rPr>
          <w:shd w:val="clear" w:color="auto" w:fill="FFFFFF"/>
        </w:rPr>
        <w:t xml:space="preserve"> examined the impact of the pandemic on human mobility patterns in New York State by comparing visits to Points-Of-Interest (POIs) in 2019 and 2020. Their study observed an average reduction rate of 40% in overall mobility, with variations ranging from a 34% decrease in visits to service shops such as travel agencies, furniture stores, and sporting goods stores, to a more pronounced reduction of 60% in other types of travel, including air travel, freight, and other transportation sectors. Similarly, Panik et al.</w:t>
      </w:r>
      <w:r w:rsidR="00C57D0F" w:rsidRPr="004465BD">
        <w:rPr>
          <w:shd w:val="clear" w:color="auto" w:fill="FFFFFF"/>
        </w:rPr>
        <w:t xml:space="preserve"> 2023 </w:t>
      </w:r>
      <w:r w:rsidR="00C57D0F" w:rsidRPr="004465BD">
        <w:rPr>
          <w:shd w:val="clear" w:color="auto" w:fill="FFFFFF"/>
        </w:rPr>
        <w:fldChar w:fldCharType="begin" w:fldLock="1"/>
      </w:r>
      <w:r w:rsidR="003A5A4F" w:rsidRPr="004465BD">
        <w:rPr>
          <w:shd w:val="clear" w:color="auto" w:fill="FFFFFF"/>
        </w:rPr>
        <w:instrText>ADDIN CSL_CITATION {"citationItems":[{"id":"ITEM-1","itemData":{"DOI":"10.1177/03611981221131812","ISSN":"21694052","abstract":"The COVID-19 pandemic disrupted typical travel behavior worldwide. In the United States (U.S.), government entities took action to limit its spread through public health messaging to encourage reduced mobility and thus reduce the spread of the virus. Within statewide responses to COVID-19, however, there were different responses locally. Likely some of these variations were a result of individual attitudes toward the government and health messaging, but there is also likely a portion of the effects that were because of the character of the communities. In this research, we summarize county-level characteristics that are known to affect travel behavior for 404 counties in the U.S., and we investigate correlates of mobility between April and September (2020). We do this through application of three metrics that are derived via changepoint analysis—initial post-disruption mobility index, changepoint on restoration of a ‘‘new normal,’’ and recovered mobility index. We find that variables for employment sectors are significantly correlated and had large effects on mobility during the pandemic. The state dummy variables are significant, suggesting that counties within the same state behaved more similarly to one another than to counties in different states. Our findings indicate that few travel characteristics that typically correlate with travel behavior are related to pandemic mobility, and that the number of COVID-19 cases may not be correlated with mobility outcomes.","author":[{"dropping-particle":"","family":"Panik","given":"Rachael Thompson","non-dropping-particle":"","parse-names":false,"suffix":""},{"dropping-particle":"","family":"Watkins","given":"Kari","non-dropping-particle":"","parse-names":false,"suffix":""},{"dropping-particle":"","family":"Ederer","given":"David","non-dropping-particle":"","parse-names":false,"suffix":""}],"container-title":"Transportation Research Record","id":"ITEM-1","issue":"4","issued":{"date-parts":[["2023"]]},"page":"583-596","title":"Metrics of Mobility: Assessing the Impact of COVID-19 on Travel Behavior","type":"article-journal","volume":"2677"},"uris":["http://www.mendeley.com/documents/?uuid=e806801b-972e-406b-bd31-371d43cfd915"]}],"mendeley":{"formattedCitation":"(&lt;i&gt;11&lt;/i&gt;)","plainTextFormattedCitation":"(11)","previouslyFormattedCitation":"(&lt;i&gt;11&lt;/i&gt;)"},"properties":{"noteIndex":0},"schema":"https://github.com/citation-style-language/schema/raw/master/csl-citation.json"}</w:instrText>
      </w:r>
      <w:r w:rsidR="00C57D0F" w:rsidRPr="004465BD">
        <w:rPr>
          <w:shd w:val="clear" w:color="auto" w:fill="FFFFFF"/>
        </w:rPr>
        <w:fldChar w:fldCharType="separate"/>
      </w:r>
      <w:r w:rsidR="00794DDD" w:rsidRPr="004465BD">
        <w:rPr>
          <w:noProof/>
          <w:shd w:val="clear" w:color="auto" w:fill="FFFFFF"/>
        </w:rPr>
        <w:t>(</w:t>
      </w:r>
      <w:r w:rsidR="00794DDD" w:rsidRPr="004465BD">
        <w:rPr>
          <w:i/>
          <w:noProof/>
          <w:shd w:val="clear" w:color="auto" w:fill="FFFFFF"/>
        </w:rPr>
        <w:t>11</w:t>
      </w:r>
      <w:r w:rsidR="00794DDD" w:rsidRPr="004465BD">
        <w:rPr>
          <w:noProof/>
          <w:shd w:val="clear" w:color="auto" w:fill="FFFFFF"/>
        </w:rPr>
        <w:t>)</w:t>
      </w:r>
      <w:r w:rsidR="00C57D0F" w:rsidRPr="004465BD">
        <w:rPr>
          <w:shd w:val="clear" w:color="auto" w:fill="FFFFFF"/>
        </w:rPr>
        <w:fldChar w:fldCharType="end"/>
      </w:r>
      <w:r w:rsidR="00C97993" w:rsidRPr="004465BD">
        <w:rPr>
          <w:shd w:val="clear" w:color="auto" w:fill="FFFFFF"/>
        </w:rPr>
        <w:t xml:space="preserve"> explored the impact of COVID-19 on travel behavior across 404 counties in the United States from April to September 2020 and </w:t>
      </w:r>
      <w:r w:rsidR="00C97993" w:rsidRPr="004465BD">
        <w:rPr>
          <w:shd w:val="clear" w:color="auto" w:fill="FFFFFF"/>
        </w:rPr>
        <w:lastRenderedPageBreak/>
        <w:t>found a significant decrease in overall mobility, particularly in urban areas.</w:t>
      </w:r>
      <w:r w:rsidR="00A867E7" w:rsidRPr="004465BD">
        <w:rPr>
          <w:shd w:val="clear" w:color="auto" w:fill="FFFFFF"/>
        </w:rPr>
        <w:t xml:space="preserve"> While research studies have focused on examining the </w:t>
      </w:r>
      <w:proofErr w:type="spellStart"/>
      <w:r w:rsidR="00A867E7" w:rsidRPr="004465BD">
        <w:rPr>
          <w:shd w:val="clear" w:color="auto" w:fill="FFFFFF"/>
        </w:rPr>
        <w:t>uni</w:t>
      </w:r>
      <w:proofErr w:type="spellEnd"/>
      <w:r w:rsidR="00A867E7" w:rsidRPr="004465BD">
        <w:rPr>
          <w:shd w:val="clear" w:color="auto" w:fill="FFFFFF"/>
        </w:rPr>
        <w:t>-directional impact of mobility on COVD-19 transmission and vice-versa</w:t>
      </w:r>
      <w:r w:rsidR="00A867E7" w:rsidRPr="004465BD">
        <w:rPr>
          <w:rStyle w:val="FootnoteReference"/>
          <w:shd w:val="clear" w:color="auto" w:fill="FFFFFF"/>
        </w:rPr>
        <w:footnoteReference w:id="1"/>
      </w:r>
      <w:r w:rsidR="00A867E7" w:rsidRPr="004465BD">
        <w:rPr>
          <w:shd w:val="clear" w:color="auto" w:fill="FFFFFF"/>
        </w:rPr>
        <w:t xml:space="preserve">, it is plausible to consider the potential for a two-way relationship between COVID-19 transmission and transportation mobility. In regions with higher transmission rates, local agencies were likely to impose (or re-impose) stricter guidelines prompting individuals to reduce their travel during the high incidence period and cause a potential lowering of transmission rates. </w:t>
      </w:r>
    </w:p>
    <w:p w14:paraId="79D9865C" w14:textId="11DC2DA3" w:rsidR="00791E1A" w:rsidRPr="004465BD" w:rsidRDefault="00791E1A" w:rsidP="00EB5197">
      <w:pPr>
        <w:ind w:firstLine="432"/>
        <w:rPr>
          <w:rFonts w:cs="Times New Roman"/>
          <w:szCs w:val="24"/>
        </w:rPr>
      </w:pPr>
      <w:r w:rsidRPr="004465BD">
        <w:rPr>
          <w:rFonts w:cs="Times New Roman"/>
          <w:szCs w:val="24"/>
        </w:rPr>
        <w:t xml:space="preserve">As the pandemic </w:t>
      </w:r>
      <w:r w:rsidR="00194466" w:rsidRPr="004465BD">
        <w:rPr>
          <w:rFonts w:cs="Times New Roman"/>
          <w:szCs w:val="24"/>
        </w:rPr>
        <w:t>persisted through 2021</w:t>
      </w:r>
      <w:r w:rsidRPr="004465BD">
        <w:rPr>
          <w:rFonts w:cs="Times New Roman"/>
          <w:szCs w:val="24"/>
        </w:rPr>
        <w:t xml:space="preserve">, transportation mobility recovered at varying rates during differ time periods. The behavioral response to emerging COVID waves has also varied across population groups. For example, months into the pandemic, younger </w:t>
      </w:r>
      <w:r w:rsidR="00194466" w:rsidRPr="004465BD">
        <w:rPr>
          <w:rFonts w:cs="Times New Roman"/>
          <w:szCs w:val="24"/>
        </w:rPr>
        <w:t xml:space="preserve">adults </w:t>
      </w:r>
      <w:r w:rsidRPr="004465BD">
        <w:rPr>
          <w:rFonts w:cs="Times New Roman"/>
          <w:szCs w:val="24"/>
        </w:rPr>
        <w:t xml:space="preserve">were less likely to adhere to public health guidelines compared to their older counterparts. These changes in behavior were further accentuated with wide availability of vaccines. As vaccination rates increased, there was more openness among the vaccinated population to increase their social interactions and return to </w:t>
      </w:r>
      <w:r w:rsidR="009F398F" w:rsidRPr="004465BD">
        <w:rPr>
          <w:rFonts w:cs="Times New Roman"/>
          <w:szCs w:val="24"/>
        </w:rPr>
        <w:t>early</w:t>
      </w:r>
      <w:r w:rsidRPr="004465BD">
        <w:rPr>
          <w:rFonts w:cs="Times New Roman"/>
          <w:szCs w:val="24"/>
        </w:rPr>
        <w:t xml:space="preserve">-pandemic mobility patterns. Further, while large parts of the population are attempting to return to some sort of normalcy, a small but significant share of the population that is either unvaccinated due to vaccine unavailability for children, immuno-compromised or worried about COVID impacts continue to alter their mobility patterns. In summary, the post-pandemic mobility trends are a result of the interaction across these various population segments. </w:t>
      </w:r>
    </w:p>
    <w:p w14:paraId="24035D22" w14:textId="2F74C672" w:rsidR="00313B14" w:rsidRPr="004465BD" w:rsidRDefault="00791E1A" w:rsidP="00EB5197">
      <w:pPr>
        <w:ind w:firstLine="432"/>
        <w:rPr>
          <w:rFonts w:cs="Times New Roman"/>
        </w:rPr>
      </w:pPr>
      <w:r w:rsidRPr="004465BD">
        <w:rPr>
          <w:shd w:val="clear" w:color="auto" w:fill="FFFFFF"/>
        </w:rPr>
        <w:t>In our proposed research effort, the emphasis is on understanding this multi-phased relationship between COVID-19 transmission rate and mobility patterns.</w:t>
      </w:r>
      <w:r w:rsidR="00194466" w:rsidRPr="004465BD">
        <w:rPr>
          <w:shd w:val="clear" w:color="auto" w:fill="FFFFFF"/>
        </w:rPr>
        <w:t xml:space="preserve"> </w:t>
      </w:r>
      <w:r w:rsidR="00313B14" w:rsidRPr="004465BD">
        <w:rPr>
          <w:rFonts w:cs="Times New Roman"/>
        </w:rPr>
        <w:t xml:space="preserve">The </w:t>
      </w:r>
      <w:r w:rsidR="00632C14" w:rsidRPr="004465BD">
        <w:rPr>
          <w:rFonts w:cs="Times New Roman"/>
        </w:rPr>
        <w:t xml:space="preserve">development of model frameworks that </w:t>
      </w:r>
      <w:r w:rsidR="00423FB2" w:rsidRPr="004465BD">
        <w:rPr>
          <w:rFonts w:cs="Times New Roman"/>
        </w:rPr>
        <w:t>examin</w:t>
      </w:r>
      <w:r w:rsidR="00632C14" w:rsidRPr="004465BD">
        <w:rPr>
          <w:rFonts w:cs="Times New Roman"/>
        </w:rPr>
        <w:t xml:space="preserve">e the influence </w:t>
      </w:r>
      <w:r w:rsidR="00423FB2" w:rsidRPr="004465BD">
        <w:rPr>
          <w:rFonts w:cs="Times New Roman"/>
        </w:rPr>
        <w:t xml:space="preserve">of </w:t>
      </w:r>
      <w:r w:rsidR="00581C3A" w:rsidRPr="004465BD">
        <w:rPr>
          <w:rFonts w:cs="Times New Roman"/>
        </w:rPr>
        <w:t xml:space="preserve">factors affecting the </w:t>
      </w:r>
      <w:proofErr w:type="spellStart"/>
      <w:r w:rsidR="00423FB2" w:rsidRPr="004465BD">
        <w:rPr>
          <w:rFonts w:cs="Times New Roman"/>
        </w:rPr>
        <w:t>uni</w:t>
      </w:r>
      <w:proofErr w:type="spellEnd"/>
      <w:r w:rsidR="00423FB2" w:rsidRPr="004465BD">
        <w:rPr>
          <w:rFonts w:cs="Times New Roman"/>
        </w:rPr>
        <w:t>-directional impact (</w:t>
      </w:r>
      <w:r w:rsidR="00581C3A" w:rsidRPr="004465BD">
        <w:rPr>
          <w:rFonts w:cs="Times New Roman"/>
        </w:rPr>
        <w:t xml:space="preserve">the impact of </w:t>
      </w:r>
      <w:r w:rsidR="00423FB2" w:rsidRPr="004465BD">
        <w:rPr>
          <w:rFonts w:cs="Times New Roman"/>
        </w:rPr>
        <w:t xml:space="preserve">transmission on mobility or </w:t>
      </w:r>
      <w:r w:rsidR="00581C3A" w:rsidRPr="004465BD">
        <w:rPr>
          <w:rFonts w:cs="Times New Roman"/>
        </w:rPr>
        <w:t xml:space="preserve">the impact of </w:t>
      </w:r>
      <w:r w:rsidR="00423FB2" w:rsidRPr="004465BD">
        <w:rPr>
          <w:rFonts w:cs="Times New Roman"/>
        </w:rPr>
        <w:t xml:space="preserve">mobility on transmission) </w:t>
      </w:r>
      <w:r w:rsidR="00581C3A" w:rsidRPr="004465BD">
        <w:rPr>
          <w:rFonts w:cs="Times New Roman"/>
        </w:rPr>
        <w:t xml:space="preserve">while useful might lead to inaccurate or misleading conclusions on the influence of various independent variables. </w:t>
      </w:r>
      <w:r w:rsidR="00313B14" w:rsidRPr="004465BD">
        <w:rPr>
          <w:rFonts w:cs="Times New Roman"/>
        </w:rPr>
        <w:t xml:space="preserve">For instance, a traditional modeling approach may suggest that increased mobility leads to higher transmission, but it fails to capture the </w:t>
      </w:r>
      <w:r w:rsidR="00632C14" w:rsidRPr="004465BD">
        <w:rPr>
          <w:rFonts w:cs="Times New Roman"/>
        </w:rPr>
        <w:t xml:space="preserve">influence of the </w:t>
      </w:r>
      <w:r w:rsidR="00313B14" w:rsidRPr="004465BD">
        <w:rPr>
          <w:rFonts w:cs="Times New Roman"/>
        </w:rPr>
        <w:t xml:space="preserve">feedback where higher transmission subsequently reduces mobility. </w:t>
      </w:r>
      <w:r w:rsidR="00632C14" w:rsidRPr="004465BD">
        <w:rPr>
          <w:rFonts w:cs="Times New Roman"/>
        </w:rPr>
        <w:t>To be sure, addressing the bi-directional relationship between COVID-19 transmission and mobility presents a complex scenario for modeling and analysis. Specifically, t</w:t>
      </w:r>
      <w:r w:rsidR="00313B14" w:rsidRPr="004465BD">
        <w:rPr>
          <w:rFonts w:cs="Times New Roman"/>
        </w:rPr>
        <w:t xml:space="preserve">o address this endogeneity and capture the bi-directional relationship, </w:t>
      </w:r>
      <w:r w:rsidR="00632C14" w:rsidRPr="004465BD">
        <w:rPr>
          <w:rFonts w:cs="Times New Roman"/>
        </w:rPr>
        <w:t xml:space="preserve">simulation based </w:t>
      </w:r>
      <w:r w:rsidR="00313B14" w:rsidRPr="004465BD">
        <w:rPr>
          <w:rFonts w:cs="Times New Roman"/>
        </w:rPr>
        <w:t xml:space="preserve">simultaneous modeling techniques can be employed. </w:t>
      </w:r>
      <w:r w:rsidR="00632C14" w:rsidRPr="004465BD">
        <w:rPr>
          <w:rFonts w:cs="Times New Roman"/>
        </w:rPr>
        <w:t xml:space="preserve">In this approach, </w:t>
      </w:r>
      <w:r w:rsidR="00752286" w:rsidRPr="004465BD">
        <w:rPr>
          <w:rFonts w:cs="Times New Roman"/>
        </w:rPr>
        <w:t>transmission and mobility are simultaneously modeled allowing us to account for interconnectedness across these dependent variables</w:t>
      </w:r>
      <w:r w:rsidR="00D15537" w:rsidRPr="004465BD">
        <w:rPr>
          <w:rFonts w:cs="Times New Roman"/>
        </w:rPr>
        <w:t xml:space="preserve">. The approach allows us to obtain more accurate estimates of the impact of various factors affecting these dependent variables. Further, the simultaneous framework allows us to incorporate the influence of common unobserved factors that affect these variables. </w:t>
      </w:r>
      <w:r w:rsidR="00830918" w:rsidRPr="004465BD">
        <w:rPr>
          <w:rFonts w:cs="Times New Roman"/>
        </w:rPr>
        <w:t xml:space="preserve">The consideration of these interactions between the dependent variables allows us to represent </w:t>
      </w:r>
      <w:r w:rsidR="00313B14" w:rsidRPr="004465BD">
        <w:rPr>
          <w:rFonts w:cs="Times New Roman"/>
        </w:rPr>
        <w:t xml:space="preserve"> the dynamics of the pandemic comprehensively. </w:t>
      </w:r>
      <w:r w:rsidR="00272696" w:rsidRPr="004465BD">
        <w:rPr>
          <w:rFonts w:cs="Times New Roman"/>
        </w:rPr>
        <w:t>The approach b</w:t>
      </w:r>
      <w:r w:rsidR="00313B14" w:rsidRPr="004465BD">
        <w:rPr>
          <w:rFonts w:cs="Times New Roman"/>
        </w:rPr>
        <w:t xml:space="preserve">y quantifying the </w:t>
      </w:r>
      <w:r w:rsidR="00272696" w:rsidRPr="004465BD">
        <w:rPr>
          <w:rFonts w:cs="Times New Roman"/>
        </w:rPr>
        <w:t xml:space="preserve">bi-directional interplay between transmission and </w:t>
      </w:r>
      <w:r w:rsidR="00A42A03" w:rsidRPr="004465BD">
        <w:rPr>
          <w:rFonts w:cs="Times New Roman"/>
        </w:rPr>
        <w:t xml:space="preserve">mobility </w:t>
      </w:r>
      <w:r w:rsidR="00DE7C68" w:rsidRPr="004465BD">
        <w:rPr>
          <w:rFonts w:cs="Times New Roman"/>
        </w:rPr>
        <w:t xml:space="preserve">will allow us to develop useful policy tools </w:t>
      </w:r>
      <w:r w:rsidR="00313B14" w:rsidRPr="004465BD">
        <w:rPr>
          <w:rFonts w:cs="Times New Roman"/>
        </w:rPr>
        <w:t>that target both variables, leading to more informed and efficient decision-making.</w:t>
      </w:r>
    </w:p>
    <w:p w14:paraId="44DBD74D" w14:textId="234DCC84" w:rsidR="00F11B53" w:rsidRPr="004465BD" w:rsidRDefault="002E4113" w:rsidP="00EB5197">
      <w:pPr>
        <w:ind w:firstLine="432"/>
        <w:rPr>
          <w:shd w:val="clear" w:color="auto" w:fill="FFFFFF"/>
        </w:rPr>
      </w:pPr>
      <w:r w:rsidRPr="004465BD">
        <w:rPr>
          <w:shd w:val="clear" w:color="auto" w:fill="FFFFFF"/>
        </w:rPr>
        <w:t xml:space="preserve">In our research, </w:t>
      </w:r>
      <w:r w:rsidR="005C4AD4" w:rsidRPr="004465BD">
        <w:rPr>
          <w:shd w:val="clear" w:color="auto" w:fill="FFFFFF"/>
        </w:rPr>
        <w:t xml:space="preserve">the simultaneous framework is built upon </w:t>
      </w:r>
      <w:r w:rsidR="008D4CB7" w:rsidRPr="004465BD">
        <w:rPr>
          <w:shd w:val="clear" w:color="auto" w:fill="FFFFFF"/>
        </w:rPr>
        <w:t>data</w:t>
      </w:r>
      <w:r w:rsidR="005C4AD4" w:rsidRPr="004465BD">
        <w:rPr>
          <w:shd w:val="clear" w:color="auto" w:fill="FFFFFF"/>
        </w:rPr>
        <w:t xml:space="preserve"> compiled at the</w:t>
      </w:r>
      <w:r w:rsidR="00DB0F21" w:rsidRPr="004465BD">
        <w:rPr>
          <w:shd w:val="clear" w:color="auto" w:fill="FFFFFF"/>
        </w:rPr>
        <w:t xml:space="preserve"> county level in the US. Specifically, we address </w:t>
      </w:r>
      <w:r w:rsidR="00C016ED" w:rsidRPr="004465BD">
        <w:rPr>
          <w:shd w:val="clear" w:color="auto" w:fill="FFFFFF"/>
        </w:rPr>
        <w:t xml:space="preserve">these </w:t>
      </w:r>
      <w:r w:rsidR="00DB0F21" w:rsidRPr="004465BD">
        <w:rPr>
          <w:shd w:val="clear" w:color="auto" w:fill="FFFFFF"/>
        </w:rPr>
        <w:t>questions</w:t>
      </w:r>
      <w:r w:rsidR="00D05B8A" w:rsidRPr="004465BD">
        <w:rPr>
          <w:shd w:val="clear" w:color="auto" w:fill="FFFFFF"/>
        </w:rPr>
        <w:t>:</w:t>
      </w:r>
    </w:p>
    <w:p w14:paraId="6029F484" w14:textId="57CEFF48" w:rsidR="00DB0F21" w:rsidRPr="004465BD" w:rsidRDefault="00EC04F8" w:rsidP="00EB5197">
      <w:pPr>
        <w:pStyle w:val="ListParagraph"/>
        <w:numPr>
          <w:ilvl w:val="0"/>
          <w:numId w:val="4"/>
        </w:numPr>
        <w:rPr>
          <w:shd w:val="clear" w:color="auto" w:fill="FFFFFF"/>
        </w:rPr>
      </w:pPr>
      <w:r w:rsidRPr="004465BD">
        <w:rPr>
          <w:shd w:val="clear" w:color="auto" w:fill="FFFFFF"/>
        </w:rPr>
        <w:t>W</w:t>
      </w:r>
      <w:r w:rsidR="002C042C" w:rsidRPr="004465BD">
        <w:rPr>
          <w:shd w:val="clear" w:color="auto" w:fill="FFFFFF"/>
        </w:rPr>
        <w:t xml:space="preserve">hat is the </w:t>
      </w:r>
      <w:r w:rsidR="00CE2305" w:rsidRPr="004465BD">
        <w:rPr>
          <w:shd w:val="clear" w:color="auto" w:fill="FFFFFF"/>
        </w:rPr>
        <w:t>relation</w:t>
      </w:r>
      <w:r w:rsidR="006E0914" w:rsidRPr="004465BD">
        <w:rPr>
          <w:shd w:val="clear" w:color="auto" w:fill="FFFFFF"/>
        </w:rPr>
        <w:t>ship</w:t>
      </w:r>
      <w:r w:rsidR="002C042C" w:rsidRPr="004465BD">
        <w:rPr>
          <w:shd w:val="clear" w:color="auto" w:fill="FFFFFF"/>
        </w:rPr>
        <w:t xml:space="preserve"> between c</w:t>
      </w:r>
      <w:r w:rsidR="00DB0F21" w:rsidRPr="004465BD">
        <w:rPr>
          <w:shd w:val="clear" w:color="auto" w:fill="FFFFFF"/>
        </w:rPr>
        <w:t xml:space="preserve">ounty level COVID-19 transmission </w:t>
      </w:r>
      <w:r w:rsidR="000617BA" w:rsidRPr="004465BD">
        <w:rPr>
          <w:shd w:val="clear" w:color="auto" w:fill="FFFFFF"/>
        </w:rPr>
        <w:t xml:space="preserve">rate </w:t>
      </w:r>
      <w:r w:rsidR="00DB0F21" w:rsidRPr="004465BD">
        <w:rPr>
          <w:shd w:val="clear" w:color="auto" w:fill="FFFFFF"/>
        </w:rPr>
        <w:t xml:space="preserve">and mobility </w:t>
      </w:r>
      <w:r w:rsidR="00E2783E" w:rsidRPr="004465BD">
        <w:rPr>
          <w:shd w:val="clear" w:color="auto" w:fill="FFFFFF"/>
        </w:rPr>
        <w:t>patterns?</w:t>
      </w:r>
      <w:r w:rsidR="00DB0F21" w:rsidRPr="004465BD">
        <w:rPr>
          <w:shd w:val="clear" w:color="auto" w:fill="FFFFFF"/>
        </w:rPr>
        <w:t xml:space="preserve"> </w:t>
      </w:r>
    </w:p>
    <w:p w14:paraId="30D1B1D0" w14:textId="04F47FB0" w:rsidR="00DB0F21" w:rsidRPr="004465BD" w:rsidRDefault="002C042C" w:rsidP="00EB5197">
      <w:pPr>
        <w:pStyle w:val="ListParagraph"/>
        <w:numPr>
          <w:ilvl w:val="0"/>
          <w:numId w:val="4"/>
        </w:numPr>
        <w:rPr>
          <w:shd w:val="clear" w:color="auto" w:fill="FFFFFF"/>
        </w:rPr>
      </w:pPr>
      <w:r w:rsidRPr="004465BD">
        <w:rPr>
          <w:shd w:val="clear" w:color="auto" w:fill="FFFFFF"/>
        </w:rPr>
        <w:t xml:space="preserve">How has the relationship evolved </w:t>
      </w:r>
      <w:r w:rsidR="002E4113" w:rsidRPr="004465BD">
        <w:rPr>
          <w:shd w:val="clear" w:color="auto" w:fill="FFFFFF"/>
        </w:rPr>
        <w:t>from March 2020 to August 2021</w:t>
      </w:r>
      <w:r w:rsidR="00CC7748" w:rsidRPr="004465BD">
        <w:rPr>
          <w:shd w:val="clear" w:color="auto" w:fill="FFFFFF"/>
        </w:rPr>
        <w:t>?</w:t>
      </w:r>
      <w:r w:rsidR="006A00EB" w:rsidRPr="004465BD">
        <w:rPr>
          <w:shd w:val="clear" w:color="auto" w:fill="FFFFFF"/>
        </w:rPr>
        <w:t xml:space="preserve"> </w:t>
      </w:r>
    </w:p>
    <w:p w14:paraId="5648C57B" w14:textId="3B2464F8" w:rsidR="001A29D9" w:rsidRPr="004465BD" w:rsidRDefault="001A29D9" w:rsidP="00EB5197">
      <w:pPr>
        <w:pStyle w:val="ListParagraph"/>
        <w:numPr>
          <w:ilvl w:val="0"/>
          <w:numId w:val="4"/>
        </w:numPr>
        <w:rPr>
          <w:shd w:val="clear" w:color="auto" w:fill="FFFFFF"/>
        </w:rPr>
      </w:pPr>
      <w:r w:rsidRPr="004465BD">
        <w:rPr>
          <w:shd w:val="clear" w:color="auto" w:fill="FFFFFF"/>
        </w:rPr>
        <w:lastRenderedPageBreak/>
        <w:t xml:space="preserve">What will the long-term influence of COVID-19 on mobility patterns </w:t>
      </w:r>
      <w:r w:rsidR="00EC04F8" w:rsidRPr="004465BD">
        <w:rPr>
          <w:shd w:val="clear" w:color="auto" w:fill="FFFFFF"/>
        </w:rPr>
        <w:t xml:space="preserve">be </w:t>
      </w:r>
      <w:r w:rsidRPr="004465BD">
        <w:rPr>
          <w:shd w:val="clear" w:color="auto" w:fill="FFFFFF"/>
        </w:rPr>
        <w:t>as it becomes endemic</w:t>
      </w:r>
      <w:r w:rsidR="00BF4E36" w:rsidRPr="004465BD">
        <w:rPr>
          <w:shd w:val="clear" w:color="auto" w:fill="FFFFFF"/>
        </w:rPr>
        <w:t xml:space="preserve"> (like Flu)</w:t>
      </w:r>
      <w:r w:rsidR="00E2783E" w:rsidRPr="004465BD">
        <w:rPr>
          <w:shd w:val="clear" w:color="auto" w:fill="FFFFFF"/>
        </w:rPr>
        <w:t>?</w:t>
      </w:r>
    </w:p>
    <w:p w14:paraId="13193788" w14:textId="640171C1" w:rsidR="002807D5" w:rsidRPr="004465BD" w:rsidRDefault="00097732" w:rsidP="00EB5197">
      <w:pPr>
        <w:ind w:firstLine="432"/>
        <w:rPr>
          <w:rFonts w:cs="Times New Roman"/>
        </w:rPr>
      </w:pPr>
      <w:r w:rsidRPr="004465BD">
        <w:rPr>
          <w:rFonts w:cs="Times New Roman"/>
        </w:rPr>
        <w:t xml:space="preserve">The proposed spatio-temporal analysis of county level dependent variables is undertaken using an exhaustive database of transmission rates, mobility patterns and a comprehensive list of county level variables including socio-demographics, health indicators, health care infrastructure attributes and </w:t>
      </w:r>
      <w:r w:rsidR="004D4C54" w:rsidRPr="004465BD">
        <w:rPr>
          <w:rFonts w:cs="Times New Roman"/>
        </w:rPr>
        <w:t>spatial and temporal</w:t>
      </w:r>
      <w:r w:rsidRPr="004465BD">
        <w:rPr>
          <w:rFonts w:cs="Times New Roman"/>
        </w:rPr>
        <w:t xml:space="preserve"> </w:t>
      </w:r>
      <w:r w:rsidR="00BC5635" w:rsidRPr="004465BD">
        <w:rPr>
          <w:rFonts w:cs="Times New Roman"/>
        </w:rPr>
        <w:t>factors</w:t>
      </w:r>
      <w:r w:rsidR="006F1891" w:rsidRPr="004465BD">
        <w:rPr>
          <w:rFonts w:cs="Times New Roman"/>
        </w:rPr>
        <w:t xml:space="preserve">. </w:t>
      </w:r>
      <w:r w:rsidR="00E54843" w:rsidRPr="004465BD">
        <w:rPr>
          <w:rFonts w:cs="Times New Roman"/>
        </w:rPr>
        <w:t xml:space="preserve">The research </w:t>
      </w:r>
      <w:r w:rsidR="006D4564" w:rsidRPr="004465BD">
        <w:rPr>
          <w:rFonts w:cs="Times New Roman"/>
        </w:rPr>
        <w:t>employ</w:t>
      </w:r>
      <w:r w:rsidR="002E4113" w:rsidRPr="004465BD">
        <w:rPr>
          <w:rFonts w:cs="Times New Roman"/>
        </w:rPr>
        <w:t>s</w:t>
      </w:r>
      <w:r w:rsidR="006D4564" w:rsidRPr="004465BD">
        <w:rPr>
          <w:rFonts w:cs="Times New Roman"/>
        </w:rPr>
        <w:t xml:space="preserve"> data </w:t>
      </w:r>
      <w:r w:rsidR="00A30E45" w:rsidRPr="004465BD">
        <w:rPr>
          <w:rFonts w:cs="Times New Roman"/>
        </w:rPr>
        <w:t>from March 25</w:t>
      </w:r>
      <w:r w:rsidR="00A30E45" w:rsidRPr="004465BD">
        <w:rPr>
          <w:rFonts w:cs="Times New Roman"/>
          <w:vertAlign w:val="superscript"/>
        </w:rPr>
        <w:t>th</w:t>
      </w:r>
      <w:r w:rsidR="004E7434" w:rsidRPr="004465BD">
        <w:rPr>
          <w:rFonts w:cs="Times New Roman"/>
        </w:rPr>
        <w:t>, 2020,</w:t>
      </w:r>
      <w:r w:rsidR="00A30E45" w:rsidRPr="004465BD">
        <w:rPr>
          <w:rFonts w:cs="Times New Roman"/>
        </w:rPr>
        <w:t xml:space="preserve"> to </w:t>
      </w:r>
      <w:r w:rsidR="004E7434" w:rsidRPr="004465BD">
        <w:rPr>
          <w:rFonts w:cs="Times New Roman"/>
        </w:rPr>
        <w:t>August 24</w:t>
      </w:r>
      <w:r w:rsidR="004E7434" w:rsidRPr="004465BD">
        <w:rPr>
          <w:rFonts w:cs="Times New Roman"/>
          <w:vertAlign w:val="superscript"/>
        </w:rPr>
        <w:t>th</w:t>
      </w:r>
      <w:r w:rsidR="004E7434" w:rsidRPr="004465BD">
        <w:rPr>
          <w:rFonts w:cs="Times New Roman"/>
        </w:rPr>
        <w:t xml:space="preserve"> </w:t>
      </w:r>
      <w:r w:rsidR="00A30E45" w:rsidRPr="004465BD">
        <w:rPr>
          <w:rFonts w:cs="Times New Roman"/>
        </w:rPr>
        <w:t xml:space="preserve"> 202</w:t>
      </w:r>
      <w:r w:rsidR="004E7434" w:rsidRPr="004465BD">
        <w:rPr>
          <w:rFonts w:cs="Times New Roman"/>
        </w:rPr>
        <w:t>1</w:t>
      </w:r>
      <w:r w:rsidR="00395851" w:rsidRPr="004465BD">
        <w:rPr>
          <w:rFonts w:cs="Times New Roman"/>
        </w:rPr>
        <w:t xml:space="preserve"> </w:t>
      </w:r>
      <w:r w:rsidR="00E54843" w:rsidRPr="004465BD">
        <w:rPr>
          <w:rFonts w:cs="Times New Roman"/>
        </w:rPr>
        <w:t>for the dependent variables</w:t>
      </w:r>
      <w:r w:rsidR="00FE1862" w:rsidRPr="004465BD">
        <w:rPr>
          <w:rFonts w:cs="Times New Roman"/>
        </w:rPr>
        <w:t xml:space="preserve"> (</w:t>
      </w:r>
      <w:r w:rsidR="00C431E3" w:rsidRPr="004465BD">
        <w:rPr>
          <w:rFonts w:cs="Times New Roman"/>
        </w:rPr>
        <w:t xml:space="preserve">COVID-19 </w:t>
      </w:r>
      <w:r w:rsidR="00FE1862" w:rsidRPr="004465BD">
        <w:rPr>
          <w:rFonts w:cs="Times New Roman"/>
        </w:rPr>
        <w:t xml:space="preserve">transmission rate and </w:t>
      </w:r>
      <w:r w:rsidR="00684B2E" w:rsidRPr="004465BD">
        <w:rPr>
          <w:rFonts w:cs="Times New Roman"/>
        </w:rPr>
        <w:t xml:space="preserve">population </w:t>
      </w:r>
      <w:r w:rsidR="009A3136" w:rsidRPr="004465BD">
        <w:rPr>
          <w:rFonts w:cs="Times New Roman"/>
        </w:rPr>
        <w:t>mobility</w:t>
      </w:r>
      <w:r w:rsidR="00FE1862" w:rsidRPr="004465BD">
        <w:rPr>
          <w:rFonts w:cs="Times New Roman"/>
        </w:rPr>
        <w:t>)</w:t>
      </w:r>
      <w:r w:rsidR="00E54843" w:rsidRPr="004465BD">
        <w:rPr>
          <w:rFonts w:cs="Times New Roman"/>
        </w:rPr>
        <w:t xml:space="preserve"> </w:t>
      </w:r>
      <w:r w:rsidR="00EE7C6D" w:rsidRPr="004465BD">
        <w:rPr>
          <w:rFonts w:cs="Times New Roman"/>
        </w:rPr>
        <w:t xml:space="preserve">on a weekly basis. </w:t>
      </w:r>
      <w:r w:rsidR="009F3863" w:rsidRPr="004465BD">
        <w:rPr>
          <w:rFonts w:cs="Times New Roman"/>
        </w:rPr>
        <w:t xml:space="preserve">The proposed research </w:t>
      </w:r>
      <w:bookmarkStart w:id="0" w:name="_Hlk137822257"/>
      <w:r w:rsidR="009F3863" w:rsidRPr="004465BD">
        <w:rPr>
          <w:rFonts w:cs="Times New Roman"/>
        </w:rPr>
        <w:t>develops a simultaneous econometric model system that allows for the bi-directional impact across the two dependent variables while controlling for the influence of common unobserved factors affecting the two variables.</w:t>
      </w:r>
      <w:r w:rsidR="00246DE8" w:rsidRPr="004465BD">
        <w:rPr>
          <w:rFonts w:cs="Times New Roman"/>
        </w:rPr>
        <w:t xml:space="preserve"> </w:t>
      </w:r>
      <w:bookmarkEnd w:id="0"/>
      <w:r w:rsidR="006A00EB" w:rsidRPr="004465BD">
        <w:rPr>
          <w:rFonts w:cs="Times New Roman"/>
        </w:rPr>
        <w:t>The framework will also specifically allow for variation of the impact over time</w:t>
      </w:r>
      <w:r w:rsidR="00A30E45" w:rsidRPr="004465BD">
        <w:rPr>
          <w:rFonts w:cs="Times New Roman"/>
        </w:rPr>
        <w:t xml:space="preserve"> by considering </w:t>
      </w:r>
      <w:r w:rsidR="001B2F90" w:rsidRPr="004465BD">
        <w:rPr>
          <w:rFonts w:cs="Times New Roman"/>
        </w:rPr>
        <w:t xml:space="preserve">various phases of the pandemic in the US such as (a) initial part of the pandemic, (b) first wave, (c) second </w:t>
      </w:r>
      <w:r w:rsidR="00482ABE" w:rsidRPr="004465BD">
        <w:rPr>
          <w:rFonts w:cs="Times New Roman"/>
        </w:rPr>
        <w:t xml:space="preserve">wave, </w:t>
      </w:r>
      <w:r w:rsidR="009A528F" w:rsidRPr="004465BD">
        <w:rPr>
          <w:rFonts w:cs="Times New Roman"/>
        </w:rPr>
        <w:t xml:space="preserve">and </w:t>
      </w:r>
      <w:r w:rsidR="00482ABE" w:rsidRPr="004465BD">
        <w:rPr>
          <w:rFonts w:cs="Times New Roman"/>
        </w:rPr>
        <w:t xml:space="preserve">(d) vaccination </w:t>
      </w:r>
      <w:r w:rsidR="009A528F" w:rsidRPr="004465BD">
        <w:rPr>
          <w:rFonts w:cs="Times New Roman"/>
        </w:rPr>
        <w:t xml:space="preserve">phase. </w:t>
      </w:r>
    </w:p>
    <w:p w14:paraId="1D375506" w14:textId="279D2F0F" w:rsidR="00950FA1" w:rsidRPr="004465BD" w:rsidRDefault="008B6A5F" w:rsidP="006B5BA4">
      <w:pPr>
        <w:ind w:firstLine="432"/>
        <w:rPr>
          <w:rFonts w:cs="Times New Roman"/>
        </w:rPr>
      </w:pPr>
      <w:bookmarkStart w:id="1" w:name="_Hlk166430630"/>
      <w:r w:rsidRPr="004465BD">
        <w:rPr>
          <w:rFonts w:cs="Times New Roman"/>
        </w:rPr>
        <w:t>The insights gained from this paper remain highly relevant and critical for future public health preparedness, even though the immediate crisis of the COVID-19 pandemic has largely passed. During the pandemic, we observed an interconnected bi-directional relationship between COVID-19 transmission and people's mobility. Increased mobility led to higher transmission rates in subsequent weeks. The increased transmission rates prompted a reduction in mobility in the following periods, possibly due to public responding to the increase and the implementation of various  health measures by local agencies. The resulting reduction in mobility contributed to a lower transmission rates. The cycle continues with a relaxation in restrictions and a subsequent increase in mobility as people felt safer and less restricted. The overall relationship is underscoring the connected impacts of mobility and transmission, highlighting a complex feedback loop that earlier research typically overlooked by focusing only on unidirectional effects. Such insights are crucial for developing more effective public health strategies that can dynamically respond to changes in pandemic conditions. Recognizing this, we developed a simultaneous econometric model system in our study that offers a robust framework for understanding the bidirectional impacts of mobility and COVID-19 transmission. By capturing this interplay, the model provides more accurate forecasts and insights. As we anticipate future pandemics potentially related to COVID-19 variants or other novel pathogens</w:t>
      </w:r>
      <w:r w:rsidR="004968DA" w:rsidRPr="004465BD">
        <w:rPr>
          <w:rFonts w:cs="Times New Roman"/>
        </w:rPr>
        <w:t xml:space="preserve"> </w:t>
      </w:r>
      <w:r w:rsidR="004968DA" w:rsidRPr="004465BD">
        <w:rPr>
          <w:rFonts w:cs="Times New Roman"/>
        </w:rPr>
        <w:fldChar w:fldCharType="begin" w:fldLock="1"/>
      </w:r>
      <w:r w:rsidR="004968DA" w:rsidRPr="004465BD">
        <w:rPr>
          <w:rFonts w:cs="Times New Roman"/>
        </w:rPr>
        <w:instrText>ADDIN CSL_CITATION {"citationItems":[{"id":"ITEM-1","itemData":{"URL":"https://www.gavi.org/vaccineswork/new-study-suggests-risk-extreme-pandemics-covid-19-could-increase-threefold-coming","author":[{"dropping-particle":"","family":"Gavi","given":"","non-dropping-particle":"","parse-names":false,"suffix":""}],"id":"ITEM-1","issued":{"date-parts":[["2022"]]},"title":"No Title","type":"webpage"},"uris":["http://www.mendeley.com/documents/?uuid=cba70cf2-f6cf-425d-83d5-4c095f39ee39"]}],"mendeley":{"formattedCitation":"(&lt;i&gt;13&lt;/i&gt;)","plainTextFormattedCitation":"(13)"},"properties":{"noteIndex":0},"schema":"https://github.com/citation-style-language/schema/raw/master/csl-citation.json"}</w:instrText>
      </w:r>
      <w:r w:rsidR="004968DA" w:rsidRPr="004465BD">
        <w:rPr>
          <w:rFonts w:cs="Times New Roman"/>
        </w:rPr>
        <w:fldChar w:fldCharType="separate"/>
      </w:r>
      <w:r w:rsidR="004968DA" w:rsidRPr="004465BD">
        <w:rPr>
          <w:rFonts w:cs="Times New Roman"/>
          <w:noProof/>
        </w:rPr>
        <w:t>(</w:t>
      </w:r>
      <w:r w:rsidR="004968DA" w:rsidRPr="004465BD">
        <w:rPr>
          <w:rFonts w:cs="Times New Roman"/>
          <w:i/>
          <w:noProof/>
        </w:rPr>
        <w:t>13</w:t>
      </w:r>
      <w:r w:rsidR="004968DA" w:rsidRPr="004465BD">
        <w:rPr>
          <w:rFonts w:cs="Times New Roman"/>
          <w:noProof/>
        </w:rPr>
        <w:t>)</w:t>
      </w:r>
      <w:r w:rsidR="004968DA" w:rsidRPr="004465BD">
        <w:rPr>
          <w:rFonts w:cs="Times New Roman"/>
        </w:rPr>
        <w:fldChar w:fldCharType="end"/>
      </w:r>
      <w:r w:rsidRPr="004465BD">
        <w:rPr>
          <w:rFonts w:cs="Times New Roman"/>
        </w:rPr>
        <w:t>, the demonstrated need for models that account for such bidirectional influences becomes increasingly pertinent. This paper serves as a reference for future research and policy development, aiming to enhance our preparedness and response strategies for upcoming public health challenges</w:t>
      </w:r>
      <w:r w:rsidR="00950FA1" w:rsidRPr="004465BD">
        <w:rPr>
          <w:rFonts w:cs="Times New Roman"/>
        </w:rPr>
        <w:t>.</w:t>
      </w:r>
    </w:p>
    <w:bookmarkEnd w:id="1"/>
    <w:p w14:paraId="75C0014A" w14:textId="100008E6" w:rsidR="009A528F" w:rsidRPr="004465BD" w:rsidRDefault="009A528F" w:rsidP="00EB5197">
      <w:pPr>
        <w:ind w:firstLine="432"/>
        <w:rPr>
          <w:rFonts w:cs="Times New Roman"/>
        </w:rPr>
      </w:pPr>
      <w:r w:rsidRPr="004465BD">
        <w:rPr>
          <w:rFonts w:cs="Times New Roman"/>
        </w:rPr>
        <w:t xml:space="preserve">The remainder of the paper is organized as follows. The next section (Data) provides details about data source, preparation of the dependent and independent variables, and descriptive analysis results. The details of econometric framework used in the study </w:t>
      </w:r>
      <w:r w:rsidR="009F398F" w:rsidRPr="004465BD">
        <w:rPr>
          <w:rFonts w:cs="Times New Roman"/>
        </w:rPr>
        <w:t xml:space="preserve">are </w:t>
      </w:r>
      <w:r w:rsidRPr="004465BD">
        <w:rPr>
          <w:rFonts w:cs="Times New Roman"/>
        </w:rPr>
        <w:t>discussed in the Methodological Framework section</w:t>
      </w:r>
      <w:r w:rsidR="009F398F" w:rsidRPr="004465BD">
        <w:rPr>
          <w:rFonts w:cs="Times New Roman"/>
        </w:rPr>
        <w:t>. T</w:t>
      </w:r>
      <w:r w:rsidRPr="004465BD">
        <w:rPr>
          <w:rFonts w:cs="Times New Roman"/>
        </w:rPr>
        <w:t xml:space="preserve">he model estimation </w:t>
      </w:r>
      <w:r w:rsidR="009F398F" w:rsidRPr="004465BD">
        <w:rPr>
          <w:rFonts w:cs="Times New Roman"/>
        </w:rPr>
        <w:t xml:space="preserve">results, </w:t>
      </w:r>
      <w:r w:rsidRPr="004465BD">
        <w:rPr>
          <w:rFonts w:cs="Times New Roman"/>
        </w:rPr>
        <w:t>validation outcomes</w:t>
      </w:r>
      <w:r w:rsidR="009F398F" w:rsidRPr="004465BD">
        <w:rPr>
          <w:rFonts w:cs="Times New Roman"/>
        </w:rPr>
        <w:t xml:space="preserve"> and elasticity effects are presented</w:t>
      </w:r>
      <w:r w:rsidRPr="004465BD">
        <w:rPr>
          <w:rFonts w:cs="Times New Roman"/>
        </w:rPr>
        <w:t xml:space="preserve"> in the Empirical Analysis section. The final section concludes the paper with a summary of findings and some future </w:t>
      </w:r>
      <w:r w:rsidR="00947F88" w:rsidRPr="004465BD">
        <w:rPr>
          <w:rFonts w:cs="Times New Roman"/>
        </w:rPr>
        <w:t xml:space="preserve">research </w:t>
      </w:r>
      <w:r w:rsidRPr="004465BD">
        <w:rPr>
          <w:rFonts w:cs="Times New Roman"/>
        </w:rPr>
        <w:t>directions.</w:t>
      </w:r>
    </w:p>
    <w:p w14:paraId="3FEA09B3" w14:textId="77777777" w:rsidR="006A00EB" w:rsidRPr="004465BD" w:rsidRDefault="006A00EB" w:rsidP="00EB5197">
      <w:pPr>
        <w:ind w:firstLine="432"/>
        <w:rPr>
          <w:rFonts w:cs="Times New Roman"/>
        </w:rPr>
      </w:pPr>
    </w:p>
    <w:p w14:paraId="3B6C6CE6" w14:textId="06E6A55F" w:rsidR="00B44ABD" w:rsidRPr="004465BD" w:rsidRDefault="00C21D59" w:rsidP="00EB5197">
      <w:pPr>
        <w:pStyle w:val="Heading1"/>
        <w:ind w:left="432" w:hanging="432"/>
      </w:pPr>
      <w:r w:rsidRPr="004465BD">
        <w:t>DATA</w:t>
      </w:r>
    </w:p>
    <w:p w14:paraId="35123E1D" w14:textId="621FFD13" w:rsidR="009E3022" w:rsidRDefault="00947F88" w:rsidP="00EB5197">
      <w:r w:rsidRPr="004465BD">
        <w:t>In our analysis, w</w:t>
      </w:r>
      <w:r w:rsidR="00A60F7C" w:rsidRPr="004465BD">
        <w:t xml:space="preserve">e study two per capita dependent variables: (a) COVID-19 </w:t>
      </w:r>
      <w:r w:rsidR="00024C3D" w:rsidRPr="004465BD">
        <w:t>weekly</w:t>
      </w:r>
      <w:r w:rsidR="00A60F7C" w:rsidRPr="004465BD">
        <w:t xml:space="preserve"> transmission rate and (b) </w:t>
      </w:r>
      <w:r w:rsidR="00863E57" w:rsidRPr="004465BD">
        <w:t>weekly</w:t>
      </w:r>
      <w:r w:rsidR="00A60F7C" w:rsidRPr="004465BD">
        <w:t xml:space="preserve"> mobility trends</w:t>
      </w:r>
      <w:r w:rsidR="00A03481" w:rsidRPr="004465BD">
        <w:t xml:space="preserve"> (sourced from exposure data)</w:t>
      </w:r>
      <w:r w:rsidR="00A60F7C" w:rsidRPr="004465BD">
        <w:t>.</w:t>
      </w:r>
      <w:r w:rsidR="00025FA2" w:rsidRPr="004465BD">
        <w:t xml:space="preserve"> The COVID-19 transmission data is sourced from Center for Systems Science and Engineering (CSSE) Coronavirus Resource Center at Johns Hopkins University</w:t>
      </w:r>
      <w:r w:rsidR="00E743D6" w:rsidRPr="004465BD">
        <w:t xml:space="preserve"> </w:t>
      </w:r>
      <w:r w:rsidR="00025FA2" w:rsidRPr="004465BD">
        <w:fldChar w:fldCharType="begin" w:fldLock="1"/>
      </w:r>
      <w:r w:rsidR="004968DA" w:rsidRPr="004465BD">
        <w:instrText>ADDIN CSL_CITATION {"citationItems":[{"id":"ITEM-1","itemData":{"URL":"https://coronavirus.jhu.edu/map.html%0Ahttps://coronavirus.jhu.edu/data/mortality%0Ahttps://coronavirus.jhu.edu/map.html%0Ahttps://coronavirus.jhu.edu/map.html%0Ahttps://coronavirus.jhu.edu/data/mortality%0Ahttps://coronavirus.jhu.edu/map.html","abstract":"Coronavirus COVID-19 Global Cases by the Center for Systems Science and Engineering (CSSE) at Johns Hopkins University (JHU) Continously updated world map with number of confirmed cases (infections)","accessed":{"date-parts":[["2020","7","11"]]},"author":[{"dropping-particle":"","family":"University","given":"Johns Hopkins","non-dropping-particle":"","parse-names":false,"suffix":""}],"container-title":"Johns Hopkins Coronavirus Resource Center","id":"ITEM-1","issued":{"date-parts":[["2020"]]},"page":"1","title":"COVID-19 Map - Johns Hopkins Coronavirus Resource Center","type":"webpage"},"uris":["http://www.mendeley.com/documents/?uuid=e6726b40-2b29-3038-917e-3a2f665c432c"]}],"mendeley":{"formattedCitation":"(&lt;i&gt;14&lt;/i&gt;)","plainTextFormattedCitation":"(14)","previouslyFormattedCitation":"(&lt;i&gt;14&lt;/i&gt;)"},"properties":{"noteIndex":0},"schema":"https://github.com/citation-style-language/schema/raw/master/csl-citation.json"}</w:instrText>
      </w:r>
      <w:r w:rsidR="00025FA2" w:rsidRPr="004465BD">
        <w:fldChar w:fldCharType="separate"/>
      </w:r>
      <w:r w:rsidR="003A5A4F" w:rsidRPr="004465BD">
        <w:rPr>
          <w:noProof/>
        </w:rPr>
        <w:t>(</w:t>
      </w:r>
      <w:r w:rsidR="003A5A4F" w:rsidRPr="004465BD">
        <w:rPr>
          <w:i/>
          <w:noProof/>
        </w:rPr>
        <w:t>14</w:t>
      </w:r>
      <w:r w:rsidR="003A5A4F" w:rsidRPr="004465BD">
        <w:rPr>
          <w:noProof/>
        </w:rPr>
        <w:t>)</w:t>
      </w:r>
      <w:r w:rsidR="00025FA2" w:rsidRPr="004465BD">
        <w:fldChar w:fldCharType="end"/>
      </w:r>
      <w:r w:rsidR="00911DC8" w:rsidRPr="004465BD">
        <w:t>. The mobility data is sourced</w:t>
      </w:r>
      <w:r w:rsidR="008E497B" w:rsidRPr="004465BD">
        <w:t xml:space="preserve"> from </w:t>
      </w:r>
      <w:proofErr w:type="spellStart"/>
      <w:r w:rsidR="008E497B" w:rsidRPr="004465BD">
        <w:t>PlaceIQ</w:t>
      </w:r>
      <w:proofErr w:type="spellEnd"/>
      <w:r w:rsidR="000010D2" w:rsidRPr="004465BD">
        <w:t xml:space="preserve"> which</w:t>
      </w:r>
      <w:r w:rsidR="0023242F" w:rsidRPr="004465BD">
        <w:t xml:space="preserve"> </w:t>
      </w:r>
      <w:r w:rsidR="008E497B" w:rsidRPr="004465BD">
        <w:t xml:space="preserve">is based on smartphone movement data within and across the counties in US </w:t>
      </w:r>
      <w:r w:rsidR="008E497B" w:rsidRPr="004465BD">
        <w:fldChar w:fldCharType="begin" w:fldLock="1"/>
      </w:r>
      <w:r w:rsidR="004968DA" w:rsidRPr="004465BD">
        <w:instrText>ADDIN CSL_CITATION {"citationItems":[{"id":"ITEM-1","itemData":{"DOI":"10.1016/j.jue.2021.103328","ISSN":"00941190","abstract":"Tracking human activity in real time and at fine spatial scale is particularly valuable during episodes such as the COVID-19 pandemic. In this paper, we discuss the suitability of smartphone data for quantifying movement and social contact. These data cover broad sections of the US population and exhibit pre-pandemic patterns similar to conventional survey data. We develop and make publicly available a location exposure index that summarizes county-to-county movements and a device exposure index that quantifies social contact within venues. We also investigate the reliability of smartphone movement data during the pandemic.","author":[{"dropping-particle":"","family":"Couture","given":"Victor","non-dropping-particle":"","parse-names":false,"suffix":""},{"dropping-particle":"","family":"Dingel","given":"Jonathan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R.","non-dropping-particle":"","parse-names":false,"suffix":""}],"container-title":"Journal of Urban Economics","id":"ITEM-1","issue":"2241","issued":{"date-parts":[["2022"]]},"number":"35","title":"JUE Insight: Measuring movement and social contact with smartphone data: a real-time application to COVID-19","type":"report","volume":"127"},"uris":["http://www.mendeley.com/documents/?uuid=8280ada3-ff97-4b1e-b873-ba9a2a4bd6c7"]}],"mendeley":{"formattedCitation":"(&lt;i&gt;15&lt;/i&gt;)","plainTextFormattedCitation":"(15)","previouslyFormattedCitation":"(&lt;i&gt;15&lt;/i&gt;)"},"properties":{"noteIndex":0},"schema":"https://github.com/citation-style-language/schema/raw/master/csl-citation.json"}</w:instrText>
      </w:r>
      <w:r w:rsidR="008E497B" w:rsidRPr="004465BD">
        <w:fldChar w:fldCharType="separate"/>
      </w:r>
      <w:r w:rsidR="003A5A4F" w:rsidRPr="004465BD">
        <w:rPr>
          <w:noProof/>
        </w:rPr>
        <w:t>(</w:t>
      </w:r>
      <w:r w:rsidR="003A5A4F" w:rsidRPr="004465BD">
        <w:rPr>
          <w:i/>
          <w:noProof/>
        </w:rPr>
        <w:t>15</w:t>
      </w:r>
      <w:r w:rsidR="003A5A4F" w:rsidRPr="004465BD">
        <w:rPr>
          <w:noProof/>
        </w:rPr>
        <w:t>)</w:t>
      </w:r>
      <w:r w:rsidR="008E497B" w:rsidRPr="004465BD">
        <w:fldChar w:fldCharType="end"/>
      </w:r>
      <w:r w:rsidR="008E497B" w:rsidRPr="004465BD">
        <w:t xml:space="preserve">. </w:t>
      </w:r>
      <w:r w:rsidR="009E3022" w:rsidRPr="004465BD">
        <w:t>From the moveme</w:t>
      </w:r>
      <w:r w:rsidR="009E3022">
        <w:t xml:space="preserve">nt </w:t>
      </w:r>
      <w:r w:rsidR="009E3022">
        <w:lastRenderedPageBreak/>
        <w:t>data</w:t>
      </w:r>
      <w:r w:rsidR="00824440">
        <w:t>,</w:t>
      </w:r>
      <w:r w:rsidR="009E3022">
        <w:t xml:space="preserve"> for each smartphone device visiting a location, the total number of distinct devices visiting that location at that particular time is calculated </w:t>
      </w:r>
      <w:r w:rsidR="009E3022">
        <w:fldChar w:fldCharType="begin" w:fldLock="1"/>
      </w:r>
      <w:r w:rsidR="004968DA">
        <w:instrText>ADDIN CSL_CITATION {"citationItems":[{"id":"ITEM-1","itemData":{"DOI":"10.1016/j.jue.2021.103328","ISSN":"00941190","abstract":"Tracking human activity in real time and at fine spatial scale is particularly valuable during episodes such as the COVID-19 pandemic. In this paper, we discuss the suitability of smartphone data for quantifying movement and social contact. These data cover broad sections of the US population and exhibit pre-pandemic patterns similar to conventional survey data. We develop and make publicly available a location exposure index that summarizes county-to-county movements and a device exposure index that quantifies social contact within venues. We also investigate the reliability of smartphone movement data during the pandemic.","author":[{"dropping-particle":"","family":"Couture","given":"Victor","non-dropping-particle":"","parse-names":false,"suffix":""},{"dropping-particle":"","family":"Dingel","given":"Jonathan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R.","non-dropping-particle":"","parse-names":false,"suffix":""}],"container-title":"Journal of Urban Economics","id":"ITEM-1","issue":"2241","issued":{"date-parts":[["2022"]]},"number":"35","title":"JUE Insight: Measuring movement and social contact with smartphone data: a real-time application to COVID-19","type":"report","volume":"127"},"uris":["http://www.mendeley.com/documents/?uuid=8280ada3-ff97-4b1e-b873-ba9a2a4bd6c7"]}],"mendeley":{"formattedCitation":"(&lt;i&gt;15&lt;/i&gt;)","plainTextFormattedCitation":"(15)","previouslyFormattedCitation":"(&lt;i&gt;15&lt;/i&gt;)"},"properties":{"noteIndex":0},"schema":"https://github.com/citation-style-language/schema/raw/master/csl-citation.json"}</w:instrText>
      </w:r>
      <w:r w:rsidR="009E3022">
        <w:fldChar w:fldCharType="separate"/>
      </w:r>
      <w:r w:rsidR="003A5A4F" w:rsidRPr="003A5A4F">
        <w:rPr>
          <w:noProof/>
        </w:rPr>
        <w:t>(</w:t>
      </w:r>
      <w:r w:rsidR="003A5A4F" w:rsidRPr="003A5A4F">
        <w:rPr>
          <w:i/>
          <w:noProof/>
        </w:rPr>
        <w:t>15</w:t>
      </w:r>
      <w:r w:rsidR="003A5A4F" w:rsidRPr="003A5A4F">
        <w:rPr>
          <w:noProof/>
        </w:rPr>
        <w:t>)</w:t>
      </w:r>
      <w:r w:rsidR="009E3022">
        <w:fldChar w:fldCharType="end"/>
      </w:r>
      <w:r w:rsidR="009E3022">
        <w:t>. These distinct devices will serve as exposure for the particular device. Similarly, one can compute the exposure for all the devices residing in a county</w:t>
      </w:r>
      <w:r w:rsidR="000955BA">
        <w:t xml:space="preserve"> per week</w:t>
      </w:r>
      <w:r w:rsidR="009E3022">
        <w:t xml:space="preserve"> and finally compute the </w:t>
      </w:r>
      <w:r w:rsidR="000955BA">
        <w:t>weekly</w:t>
      </w:r>
      <w:r w:rsidR="009E3022">
        <w:t xml:space="preserve"> average exposure at the count</w:t>
      </w:r>
      <w:r w:rsidR="00463B43">
        <w:t>y</w:t>
      </w:r>
      <w:r w:rsidR="009E3022">
        <w:t xml:space="preserve"> level. </w:t>
      </w:r>
      <w:r w:rsidR="00FE1698">
        <w:t xml:space="preserve">In our analysis, exposure is employed as a surrogate for mobility. </w:t>
      </w:r>
    </w:p>
    <w:p w14:paraId="418F33DF" w14:textId="755AD93D" w:rsidR="00320AB2" w:rsidRDefault="008D2979" w:rsidP="00EB5197">
      <w:pPr>
        <w:ind w:firstLine="432"/>
        <w:rPr>
          <w:rFonts w:cs="Times New Roman"/>
        </w:rPr>
      </w:pPr>
      <w:r>
        <w:t xml:space="preserve">For the current research effort, we confined our attention to the counties of United States </w:t>
      </w:r>
      <w:r w:rsidR="00B13387">
        <w:t>with</w:t>
      </w:r>
      <w:r>
        <w:t xml:space="preserve"> at least 100 COVID-19 cases. With this </w:t>
      </w:r>
      <w:r w:rsidR="00B13387">
        <w:t>requirement</w:t>
      </w:r>
      <w:r>
        <w:t xml:space="preserve">, a total of 1,986 counties across 51 </w:t>
      </w:r>
      <w:r w:rsidR="0048642B">
        <w:t>S</w:t>
      </w:r>
      <w:r>
        <w:t>tates are included in the analysis</w:t>
      </w:r>
      <w:r w:rsidR="00A03481">
        <w:t xml:space="preserve">. The counties considered for analysis represent </w:t>
      </w:r>
      <w:r>
        <w:t>approximately 9</w:t>
      </w:r>
      <w:r w:rsidR="00EB0AF1">
        <w:t>7</w:t>
      </w:r>
      <w:r>
        <w:t xml:space="preserve">% of the total population and </w:t>
      </w:r>
      <w:r w:rsidRPr="006E34DB">
        <w:rPr>
          <w:rFonts w:cs="Times New Roman"/>
          <w:szCs w:val="24"/>
        </w:rPr>
        <w:t>9</w:t>
      </w:r>
      <w:r w:rsidR="00EB0AF1">
        <w:rPr>
          <w:rFonts w:cs="Times New Roman"/>
          <w:szCs w:val="24"/>
        </w:rPr>
        <w:t>8</w:t>
      </w:r>
      <w:r w:rsidRPr="006E34DB">
        <w:rPr>
          <w:rFonts w:cs="Times New Roman"/>
          <w:szCs w:val="24"/>
        </w:rPr>
        <w:t>% of the total confirmed COVID-19 cases</w:t>
      </w:r>
      <w:r>
        <w:t xml:space="preserve"> in </w:t>
      </w:r>
      <w:r w:rsidR="00B13387">
        <w:t xml:space="preserve">the </w:t>
      </w:r>
      <w:r>
        <w:t>US. Figure 1 represents the weekly pattern as well as the 3</w:t>
      </w:r>
      <w:r w:rsidR="00E5736B">
        <w:t>-</w:t>
      </w:r>
      <w:r>
        <w:t xml:space="preserve">week moving average </w:t>
      </w:r>
      <w:r w:rsidR="00B13387">
        <w:t>for</w:t>
      </w:r>
      <w:r>
        <w:t xml:space="preserve"> COVID-19 transmission rate </w:t>
      </w:r>
      <w:r w:rsidR="00B13387">
        <w:t xml:space="preserve">and Mobility </w:t>
      </w:r>
      <w:r>
        <w:t>of the selected counties</w:t>
      </w:r>
      <w:r w:rsidR="00A03481">
        <w:t xml:space="preserve">. The reader would </w:t>
      </w:r>
      <w:r w:rsidR="0068477B">
        <w:t>note that in the figure, w</w:t>
      </w:r>
      <w:r w:rsidR="0068477B" w:rsidRPr="00395851">
        <w:t>eek 1 starts from January 31st , 202</w:t>
      </w:r>
      <w:r w:rsidR="00C65487">
        <w:t>0</w:t>
      </w:r>
      <w:r w:rsidR="0068477B" w:rsidRPr="00395851">
        <w:t xml:space="preserve"> and </w:t>
      </w:r>
      <w:r w:rsidR="0068477B">
        <w:t>w</w:t>
      </w:r>
      <w:r w:rsidR="0068477B" w:rsidRPr="00395851">
        <w:t>eek 82 ends on August 24th , 2021</w:t>
      </w:r>
      <w:r w:rsidR="0068477B">
        <w:t xml:space="preserve">. </w:t>
      </w:r>
      <w:r w:rsidR="008A742F">
        <w:t>The figure</w:t>
      </w:r>
      <w:r w:rsidR="00F476FC">
        <w:t xml:space="preserve"> clearly </w:t>
      </w:r>
      <w:r w:rsidR="008A742F">
        <w:t xml:space="preserve">highlights </w:t>
      </w:r>
      <w:r w:rsidR="00F476FC">
        <w:t>the effect of</w:t>
      </w:r>
      <w:r w:rsidR="00C1636B">
        <w:t xml:space="preserve"> COVID-19 on </w:t>
      </w:r>
      <w:r w:rsidR="00684B2E">
        <w:t xml:space="preserve">population </w:t>
      </w:r>
      <w:r w:rsidR="00C1636B">
        <w:t>mobility and vice-versa</w:t>
      </w:r>
      <w:r w:rsidR="00EC5400">
        <w:t xml:space="preserve"> as well as </w:t>
      </w:r>
      <w:r w:rsidR="008C28D2">
        <w:t>demonstrating</w:t>
      </w:r>
      <w:r w:rsidR="002A35AC">
        <w:t xml:space="preserve"> </w:t>
      </w:r>
      <w:r w:rsidR="00EC5400">
        <w:t>how the relationship evolved over</w:t>
      </w:r>
      <w:r w:rsidR="00525D3A">
        <w:t xml:space="preserve"> the</w:t>
      </w:r>
      <w:r w:rsidR="00EC5400">
        <w:t xml:space="preserve"> different phases of the pandemic</w:t>
      </w:r>
      <w:r w:rsidR="00C1636B">
        <w:t xml:space="preserve">. </w:t>
      </w:r>
      <w:r w:rsidR="00F476FC">
        <w:t xml:space="preserve"> </w:t>
      </w:r>
      <w:r w:rsidR="00874542">
        <w:t xml:space="preserve">For instance, </w:t>
      </w:r>
      <w:r>
        <w:t xml:space="preserve">as the COVID-19 cases started to </w:t>
      </w:r>
      <w:r w:rsidR="00B13387">
        <w:t>be detected</w:t>
      </w:r>
      <w:r w:rsidR="00874542">
        <w:t xml:space="preserve"> </w:t>
      </w:r>
      <w:r w:rsidR="00B13387">
        <w:t>in the US in</w:t>
      </w:r>
      <w:r>
        <w:t xml:space="preserve"> beginning of March (</w:t>
      </w:r>
      <w:r w:rsidR="006B0A8D">
        <w:t>7</w:t>
      </w:r>
      <w:r w:rsidRPr="00B8670F">
        <w:rPr>
          <w:vertAlign w:val="superscript"/>
        </w:rPr>
        <w:t>th</w:t>
      </w:r>
      <w:r>
        <w:t xml:space="preserve"> and </w:t>
      </w:r>
      <w:r w:rsidR="006B0A8D">
        <w:t>8</w:t>
      </w:r>
      <w:r w:rsidRPr="00B8670F">
        <w:rPr>
          <w:vertAlign w:val="superscript"/>
        </w:rPr>
        <w:t>th</w:t>
      </w:r>
      <w:r>
        <w:t xml:space="preserve"> week), we can see </w:t>
      </w:r>
      <w:r w:rsidR="00B13387">
        <w:t xml:space="preserve">a sudden drop in weekly mobility </w:t>
      </w:r>
      <w:r>
        <w:t>in the mid of March (1</w:t>
      </w:r>
      <w:r w:rsidR="006B0A8D">
        <w:t>0</w:t>
      </w:r>
      <w:r w:rsidRPr="00B8670F">
        <w:rPr>
          <w:vertAlign w:val="superscript"/>
        </w:rPr>
        <w:t>th</w:t>
      </w:r>
      <w:r>
        <w:t xml:space="preserve"> and 1</w:t>
      </w:r>
      <w:r w:rsidR="006B0A8D">
        <w:t>1</w:t>
      </w:r>
      <w:r w:rsidRPr="00B8670F">
        <w:rPr>
          <w:vertAlign w:val="superscript"/>
        </w:rPr>
        <w:t>th</w:t>
      </w:r>
      <w:r>
        <w:t xml:space="preserve"> week). Similarly, reduced social interactions in the mid of March lead to </w:t>
      </w:r>
      <w:r w:rsidR="00B13387">
        <w:t xml:space="preserve">a </w:t>
      </w:r>
      <w:r>
        <w:t>steady decline in COVID-19 transmission rate by the end of March (week 1</w:t>
      </w:r>
      <w:r w:rsidR="006B0A8D">
        <w:t>5</w:t>
      </w:r>
      <w:r w:rsidRPr="00B8670F">
        <w:rPr>
          <w:vertAlign w:val="superscript"/>
        </w:rPr>
        <w:t>th</w:t>
      </w:r>
      <w:r>
        <w:t xml:space="preserve"> and 1</w:t>
      </w:r>
      <w:r w:rsidR="006B0A8D">
        <w:t>6</w:t>
      </w:r>
      <w:r w:rsidRPr="00B8670F">
        <w:rPr>
          <w:vertAlign w:val="superscript"/>
        </w:rPr>
        <w:t>h</w:t>
      </w:r>
      <w:r>
        <w:t xml:space="preserve">). </w:t>
      </w:r>
      <w:r w:rsidR="006B37B8">
        <w:t xml:space="preserve">However, </w:t>
      </w:r>
      <w:r w:rsidR="009424DB">
        <w:t xml:space="preserve">with increasing familiarity with COVID around Fall 2020, </w:t>
      </w:r>
      <w:r w:rsidR="006B37B8">
        <w:t xml:space="preserve">we </w:t>
      </w:r>
      <w:r w:rsidR="009424DB">
        <w:t>observe</w:t>
      </w:r>
      <w:r w:rsidR="006B37B8">
        <w:t xml:space="preserve"> a </w:t>
      </w:r>
      <w:r w:rsidR="00E42CBF">
        <w:t>weakened relationship</w:t>
      </w:r>
      <w:r w:rsidR="006B37B8">
        <w:t xml:space="preserve"> between the COVID-19 transmission and mobility pattern</w:t>
      </w:r>
      <w:r w:rsidR="00201D68">
        <w:t>s</w:t>
      </w:r>
      <w:r w:rsidR="006B37B8">
        <w:t xml:space="preserve">. Interestingly, the mobility characteristics </w:t>
      </w:r>
      <w:r w:rsidR="00E42CBF">
        <w:t xml:space="preserve">in Fall 2020 actually </w:t>
      </w:r>
      <w:r w:rsidR="006B37B8">
        <w:t xml:space="preserve">exceed </w:t>
      </w:r>
      <w:r w:rsidR="00235D54">
        <w:t>the initial baseline (</w:t>
      </w:r>
      <w:r w:rsidR="00D07E60">
        <w:t xml:space="preserve">pre covid </w:t>
      </w:r>
      <w:r w:rsidR="00235D54">
        <w:t xml:space="preserve">mobility in January 2020). </w:t>
      </w:r>
      <w:r w:rsidR="008D183C">
        <w:t>The trend</w:t>
      </w:r>
      <w:r w:rsidR="00E42CBF">
        <w:t>s</w:t>
      </w:r>
      <w:r w:rsidR="008D183C">
        <w:t xml:space="preserve"> after </w:t>
      </w:r>
      <w:r w:rsidR="00E42CBF">
        <w:t>wide</w:t>
      </w:r>
      <w:r w:rsidR="008D183C">
        <w:t xml:space="preserve"> vaccin</w:t>
      </w:r>
      <w:r w:rsidR="00E42CBF">
        <w:t xml:space="preserve">e availability are </w:t>
      </w:r>
      <w:r w:rsidR="008D183C">
        <w:t>quite intuitive illustrating a steady decline in the virus transmission rate while mobility gradually increase</w:t>
      </w:r>
      <w:r w:rsidR="00EB3D5E">
        <w:t>d</w:t>
      </w:r>
      <w:r w:rsidR="008D183C">
        <w:t xml:space="preserve"> over time. </w:t>
      </w:r>
      <w:r w:rsidR="006734D2">
        <w:t xml:space="preserve">However, </w:t>
      </w:r>
      <w:r w:rsidR="00960EA5">
        <w:t xml:space="preserve">from July 2021, </w:t>
      </w:r>
      <w:r w:rsidR="006734D2">
        <w:t xml:space="preserve">the </w:t>
      </w:r>
      <w:r w:rsidR="00960EA5">
        <w:t xml:space="preserve">COVID-19 </w:t>
      </w:r>
      <w:r w:rsidR="006734D2">
        <w:t>cases again start</w:t>
      </w:r>
      <w:r w:rsidR="00960EA5">
        <w:t>ed</w:t>
      </w:r>
      <w:r w:rsidR="006734D2">
        <w:t xml:space="preserve"> to rise </w:t>
      </w:r>
      <w:r w:rsidR="00960EA5">
        <w:t xml:space="preserve">as </w:t>
      </w:r>
      <w:r w:rsidR="00E42CBF">
        <w:t xml:space="preserve">a </w:t>
      </w:r>
      <w:r w:rsidR="002C68D6">
        <w:t>new strain of COVID-19 were discovered</w:t>
      </w:r>
      <w:r w:rsidR="00E42CBF">
        <w:t xml:space="preserve"> (</w:t>
      </w:r>
      <w:r w:rsidR="002C68D6">
        <w:t>Delta</w:t>
      </w:r>
      <w:r w:rsidR="00E42CBF">
        <w:t>)</w:t>
      </w:r>
      <w:r w:rsidR="002C68D6">
        <w:t xml:space="preserve">. </w:t>
      </w:r>
      <w:r w:rsidR="00960EA5">
        <w:t xml:space="preserve">Despite the </w:t>
      </w:r>
      <w:r w:rsidR="002C68D6">
        <w:t xml:space="preserve">new wave of the </w:t>
      </w:r>
      <w:r w:rsidR="00960EA5">
        <w:t xml:space="preserve">COVID-19 </w:t>
      </w:r>
      <w:r w:rsidR="002C68D6">
        <w:t>transmission</w:t>
      </w:r>
      <w:r w:rsidR="00960EA5">
        <w:t xml:space="preserve">, </w:t>
      </w:r>
      <w:r w:rsidR="002C68D6">
        <w:t>weekly mobility</w:t>
      </w:r>
      <w:r w:rsidR="00960EA5">
        <w:t xml:space="preserve"> </w:t>
      </w:r>
      <w:r w:rsidR="00E42CBF">
        <w:t xml:space="preserve">was on the rise </w:t>
      </w:r>
      <w:r w:rsidR="00E5736B">
        <w:t xml:space="preserve">for </w:t>
      </w:r>
      <w:r w:rsidR="002C68D6">
        <w:t xml:space="preserve">some time </w:t>
      </w:r>
      <w:r w:rsidR="00E42CBF">
        <w:t>before presenting a</w:t>
      </w:r>
      <w:r w:rsidR="002C68D6">
        <w:t xml:space="preserve"> steady decline at the end of August. </w:t>
      </w:r>
      <w:r w:rsidR="0095611C">
        <w:t xml:space="preserve">The overall trend </w:t>
      </w:r>
      <w:r w:rsidR="00E42CBF">
        <w:t xml:space="preserve">in the figure </w:t>
      </w:r>
      <w:r w:rsidR="0095611C">
        <w:t>clearly support</w:t>
      </w:r>
      <w:r w:rsidR="00E42CBF">
        <w:t>s</w:t>
      </w:r>
      <w:r w:rsidR="0095611C">
        <w:t xml:space="preserve"> our hypothesis o</w:t>
      </w:r>
      <w:r w:rsidR="00E42CBF">
        <w:t xml:space="preserve">f </w:t>
      </w:r>
      <w:r w:rsidR="00E5736B">
        <w:t xml:space="preserve">a </w:t>
      </w:r>
      <w:r w:rsidR="00E42CBF">
        <w:t xml:space="preserve">multi-phase relationship </w:t>
      </w:r>
      <w:r w:rsidR="0095611C">
        <w:t xml:space="preserve">between COVID-19 transmission and </w:t>
      </w:r>
      <w:r w:rsidR="00684B2E">
        <w:t xml:space="preserve">population </w:t>
      </w:r>
      <w:r w:rsidR="0095611C">
        <w:t>weekly mobility pattern</w:t>
      </w:r>
      <w:r w:rsidR="00684B2E">
        <w:t>s</w:t>
      </w:r>
      <w:r w:rsidR="0095611C">
        <w:t xml:space="preserve"> over the different phases of the pandemic</w:t>
      </w:r>
      <w:r w:rsidR="009B27B8">
        <w:t>.</w:t>
      </w:r>
      <w:r w:rsidR="00E42CBF">
        <w:t xml:space="preserve"> </w:t>
      </w:r>
      <w:r w:rsidR="009424DB">
        <w:t xml:space="preserve">The trend </w:t>
      </w:r>
      <w:r w:rsidR="00E42CBF">
        <w:t xml:space="preserve">will </w:t>
      </w:r>
      <w:r w:rsidR="009424DB">
        <w:t xml:space="preserve">be evaluated across </w:t>
      </w:r>
      <w:r w:rsidR="00E42CBF">
        <w:t xml:space="preserve">the following </w:t>
      </w:r>
      <w:r w:rsidR="009424DB">
        <w:t xml:space="preserve">multiple phases: </w:t>
      </w:r>
      <w:r w:rsidR="009424DB">
        <w:rPr>
          <w:rFonts w:cs="Times New Roman"/>
        </w:rPr>
        <w:t xml:space="preserve">(a) </w:t>
      </w:r>
      <w:r w:rsidR="00E5736B">
        <w:rPr>
          <w:rFonts w:cs="Times New Roman"/>
        </w:rPr>
        <w:t xml:space="preserve">early </w:t>
      </w:r>
      <w:r w:rsidR="009424DB">
        <w:rPr>
          <w:rFonts w:cs="Times New Roman"/>
        </w:rPr>
        <w:t xml:space="preserve">part of the pandemic (March </w:t>
      </w:r>
      <w:r w:rsidR="00171532">
        <w:rPr>
          <w:rFonts w:cs="Times New Roman"/>
        </w:rPr>
        <w:t xml:space="preserve">2020 through </w:t>
      </w:r>
      <w:r w:rsidR="00F6534E">
        <w:rPr>
          <w:rFonts w:cs="Times New Roman"/>
        </w:rPr>
        <w:t>June</w:t>
      </w:r>
      <w:r w:rsidR="009424DB">
        <w:rPr>
          <w:rFonts w:cs="Times New Roman"/>
        </w:rPr>
        <w:t xml:space="preserve"> 2020), (b) first wave (July </w:t>
      </w:r>
      <w:r w:rsidR="00171532">
        <w:rPr>
          <w:rFonts w:cs="Times New Roman"/>
        </w:rPr>
        <w:t>202</w:t>
      </w:r>
      <w:r w:rsidR="00361255">
        <w:rPr>
          <w:rFonts w:cs="Times New Roman"/>
        </w:rPr>
        <w:t>0</w:t>
      </w:r>
      <w:r w:rsidR="00171532">
        <w:rPr>
          <w:rFonts w:cs="Times New Roman"/>
        </w:rPr>
        <w:t xml:space="preserve"> through </w:t>
      </w:r>
      <w:r w:rsidR="009424DB">
        <w:rPr>
          <w:rFonts w:cs="Times New Roman"/>
        </w:rPr>
        <w:t xml:space="preserve">October 2020), (c) second wave (November 2020 through February 2021), </w:t>
      </w:r>
      <w:r w:rsidR="004E7434">
        <w:rPr>
          <w:rFonts w:cs="Times New Roman"/>
        </w:rPr>
        <w:t xml:space="preserve">and </w:t>
      </w:r>
      <w:r w:rsidR="009424DB">
        <w:rPr>
          <w:rFonts w:cs="Times New Roman"/>
        </w:rPr>
        <w:t xml:space="preserve">(d) vaccination availability (March 2021 through </w:t>
      </w:r>
      <w:r w:rsidR="00FD0A6F">
        <w:rPr>
          <w:rFonts w:cs="Times New Roman"/>
        </w:rPr>
        <w:t>August</w:t>
      </w:r>
      <w:r w:rsidR="009424DB">
        <w:rPr>
          <w:rFonts w:cs="Times New Roman"/>
        </w:rPr>
        <w:t xml:space="preserve"> 2021)</w:t>
      </w:r>
      <w:r w:rsidR="004E7434">
        <w:rPr>
          <w:rFonts w:cs="Times New Roman"/>
        </w:rPr>
        <w:t xml:space="preserve">. </w:t>
      </w:r>
    </w:p>
    <w:p w14:paraId="292AEB3E" w14:textId="77777777" w:rsidR="00CB1A19" w:rsidRPr="00F76173" w:rsidRDefault="00CB1A19" w:rsidP="00CB1A19">
      <w:pPr>
        <w:ind w:firstLine="432"/>
        <w:rPr>
          <w:rFonts w:eastAsia="Calibri" w:cs="Times New Roman"/>
          <w:szCs w:val="24"/>
          <w:lang w:eastAsia="ko-KR"/>
        </w:rPr>
      </w:pPr>
      <w:r>
        <w:rPr>
          <w:rFonts w:cs="Times New Roman"/>
          <w:szCs w:val="24"/>
        </w:rPr>
        <w:t xml:space="preserve">In terms of independent variables, we consider a comprehensive set of  </w:t>
      </w:r>
      <w:r w:rsidRPr="006E34DB">
        <w:rPr>
          <w:rFonts w:cs="Times New Roman"/>
          <w:szCs w:val="24"/>
        </w:rPr>
        <w:t>factors affecting COVID-19</w:t>
      </w:r>
      <w:r>
        <w:rPr>
          <w:rFonts w:cs="Times New Roman"/>
          <w:szCs w:val="24"/>
        </w:rPr>
        <w:t xml:space="preserve"> and the mobility trends</w:t>
      </w:r>
      <w:r w:rsidRPr="006E34DB">
        <w:rPr>
          <w:rFonts w:cs="Times New Roman"/>
          <w:szCs w:val="24"/>
        </w:rPr>
        <w:t xml:space="preserve"> </w:t>
      </w:r>
      <w:r>
        <w:rPr>
          <w:rFonts w:cs="Times New Roman"/>
          <w:szCs w:val="24"/>
        </w:rPr>
        <w:t>including</w:t>
      </w:r>
      <w:r w:rsidRPr="006E34DB">
        <w:rPr>
          <w:rFonts w:cs="Times New Roman"/>
          <w:szCs w:val="24"/>
        </w:rPr>
        <w:t xml:space="preserve"> </w:t>
      </w:r>
      <w:r>
        <w:rPr>
          <w:rFonts w:cs="Times New Roman"/>
          <w:szCs w:val="24"/>
        </w:rPr>
        <w:t xml:space="preserve">(a) </w:t>
      </w:r>
      <w:r w:rsidRPr="00A3148E">
        <w:rPr>
          <w:rFonts w:cs="Times New Roman"/>
          <w:szCs w:val="24"/>
          <w:u w:val="single"/>
        </w:rPr>
        <w:t>temporal factors</w:t>
      </w:r>
      <w:r>
        <w:rPr>
          <w:rFonts w:cs="Times New Roman"/>
          <w:szCs w:val="24"/>
        </w:rPr>
        <w:t xml:space="preserve">: </w:t>
      </w:r>
      <w:r>
        <w:rPr>
          <w:rFonts w:eastAsia="Calibri" w:cs="Times New Roman"/>
          <w:szCs w:val="24"/>
          <w:lang w:eastAsia="ko-KR"/>
        </w:rPr>
        <w:t>indicator variables representing different phases of the pandemic; (</w:t>
      </w:r>
      <w:r>
        <w:rPr>
          <w:rFonts w:cs="Times New Roman"/>
          <w:szCs w:val="24"/>
        </w:rPr>
        <w:t xml:space="preserve">b) </w:t>
      </w:r>
      <w:r w:rsidRPr="00B555F8">
        <w:rPr>
          <w:rFonts w:cs="Times New Roman"/>
          <w:szCs w:val="24"/>
          <w:u w:val="single"/>
        </w:rPr>
        <w:t>socio-demographics</w:t>
      </w:r>
      <w:r w:rsidRPr="00B555F8">
        <w:rPr>
          <w:rStyle w:val="CommentReference"/>
          <w:sz w:val="24"/>
          <w:szCs w:val="24"/>
          <w:u w:val="single"/>
        </w:rPr>
        <w:t>:</w:t>
      </w:r>
      <w:r w:rsidRPr="00213A94">
        <w:rPr>
          <w:rStyle w:val="CommentReference"/>
          <w:sz w:val="24"/>
          <w:szCs w:val="24"/>
        </w:rPr>
        <w:t xml:space="preserve"> d</w:t>
      </w:r>
      <w:r w:rsidRPr="00213A94">
        <w:rPr>
          <w:rFonts w:cs="Times New Roman"/>
          <w:szCs w:val="24"/>
        </w:rPr>
        <w:t>istribution</w:t>
      </w:r>
      <w:r w:rsidRPr="006E34DB">
        <w:rPr>
          <w:rFonts w:cs="Times New Roman"/>
          <w:szCs w:val="24"/>
        </w:rPr>
        <w:t xml:space="preserve"> by age, gender, race, income, education status, </w:t>
      </w:r>
      <w:r>
        <w:rPr>
          <w:rFonts w:cs="Times New Roman"/>
          <w:szCs w:val="24"/>
        </w:rPr>
        <w:t xml:space="preserve">income inequality and employment;  (c) </w:t>
      </w:r>
      <w:r w:rsidRPr="00B555F8">
        <w:rPr>
          <w:rFonts w:cs="Times New Roman"/>
          <w:szCs w:val="24"/>
          <w:u w:val="single"/>
        </w:rPr>
        <w:t>health indicators:</w:t>
      </w:r>
      <w:r>
        <w:rPr>
          <w:rFonts w:cs="Times New Roman"/>
          <w:szCs w:val="24"/>
        </w:rPr>
        <w:t xml:space="preserve"> percentage of population</w:t>
      </w:r>
      <w:r w:rsidRPr="006E34DB">
        <w:rPr>
          <w:rFonts w:cs="Times New Roman"/>
          <w:szCs w:val="24"/>
        </w:rPr>
        <w:t xml:space="preserve"> suffering from cancer, cardiovascular</w:t>
      </w:r>
      <w:r>
        <w:rPr>
          <w:rFonts w:cs="Times New Roman"/>
          <w:szCs w:val="24"/>
        </w:rPr>
        <w:t xml:space="preserve"> disease</w:t>
      </w:r>
      <w:r w:rsidRPr="006E34DB">
        <w:rPr>
          <w:rFonts w:cs="Times New Roman"/>
          <w:szCs w:val="24"/>
        </w:rPr>
        <w:t>, hepatitis,</w:t>
      </w:r>
      <w:r w:rsidRPr="006E34DB">
        <w:rPr>
          <w:rFonts w:eastAsia="Calibri" w:cs="Times New Roman"/>
          <w:szCs w:val="24"/>
          <w:lang w:eastAsia="ko-KR"/>
        </w:rPr>
        <w:t xml:space="preserve"> Chronic Obstructive Pulmonary Disease (C</w:t>
      </w:r>
      <w:r>
        <w:rPr>
          <w:rFonts w:eastAsia="Calibri" w:cs="Times New Roman"/>
          <w:szCs w:val="24"/>
          <w:lang w:eastAsia="ko-KR"/>
        </w:rPr>
        <w:t>OPD); diabetes, obesity, Human I</w:t>
      </w:r>
      <w:r w:rsidRPr="006E34DB">
        <w:rPr>
          <w:rFonts w:eastAsia="Calibri" w:cs="Times New Roman"/>
          <w:szCs w:val="24"/>
          <w:lang w:eastAsia="ko-KR"/>
        </w:rPr>
        <w:t xml:space="preserve">mmunodeficiency </w:t>
      </w:r>
      <w:r>
        <w:rPr>
          <w:rFonts w:eastAsia="Calibri" w:cs="Times New Roman"/>
          <w:szCs w:val="24"/>
          <w:lang w:eastAsia="ko-KR"/>
        </w:rPr>
        <w:t>V</w:t>
      </w:r>
      <w:r w:rsidRPr="006E34DB">
        <w:rPr>
          <w:rFonts w:eastAsia="Calibri" w:cs="Times New Roman"/>
          <w:szCs w:val="24"/>
          <w:lang w:eastAsia="ko-KR"/>
        </w:rPr>
        <w:t xml:space="preserve">irus (HIV), heart disease, kidney disease, asthma; drinking and smoking </w:t>
      </w:r>
      <w:r>
        <w:rPr>
          <w:rFonts w:eastAsia="Calibri" w:cs="Times New Roman"/>
          <w:szCs w:val="24"/>
          <w:lang w:eastAsia="ko-KR"/>
        </w:rPr>
        <w:t xml:space="preserve">habits, (d) </w:t>
      </w:r>
      <w:r w:rsidRPr="00B555F8">
        <w:rPr>
          <w:rFonts w:eastAsia="Calibri" w:cs="Times New Roman"/>
          <w:szCs w:val="24"/>
          <w:u w:val="single"/>
          <w:lang w:eastAsia="ko-KR"/>
        </w:rPr>
        <w:t>health care infrastructure attributes:</w:t>
      </w:r>
      <w:r>
        <w:rPr>
          <w:rFonts w:eastAsia="Calibri" w:cs="Times New Roman"/>
          <w:szCs w:val="24"/>
          <w:lang w:eastAsia="ko-KR"/>
        </w:rPr>
        <w:t xml:space="preserve"> </w:t>
      </w:r>
      <w:r w:rsidRPr="006E34DB">
        <w:rPr>
          <w:rFonts w:eastAsia="Calibri" w:cs="Times New Roman"/>
          <w:szCs w:val="24"/>
          <w:lang w:eastAsia="ko-KR"/>
        </w:rPr>
        <w:t xml:space="preserve">hospitals per capita, ICU beds per capita, </w:t>
      </w:r>
      <w:r>
        <w:rPr>
          <w:rFonts w:eastAsia="Calibri" w:cs="Times New Roman"/>
          <w:szCs w:val="24"/>
          <w:lang w:eastAsia="ko-KR"/>
        </w:rPr>
        <w:t xml:space="preserve">COVID-19 </w:t>
      </w:r>
      <w:r w:rsidRPr="006E34DB">
        <w:rPr>
          <w:rFonts w:eastAsia="Calibri" w:cs="Times New Roman"/>
          <w:szCs w:val="24"/>
          <w:lang w:eastAsia="ko-KR"/>
        </w:rPr>
        <w:t>testing measures</w:t>
      </w:r>
      <w:r>
        <w:rPr>
          <w:rFonts w:eastAsia="Calibri" w:cs="Times New Roman"/>
          <w:szCs w:val="24"/>
          <w:lang w:eastAsia="ko-KR"/>
        </w:rPr>
        <w:t xml:space="preserve"> and covid vaccination measures (like when the vaccination starts and what is the rate); and (e) </w:t>
      </w:r>
      <w:r>
        <w:rPr>
          <w:rFonts w:eastAsia="Calibri" w:cs="Times New Roman"/>
          <w:szCs w:val="24"/>
          <w:u w:val="single"/>
          <w:lang w:eastAsia="ko-KR"/>
        </w:rPr>
        <w:t>spatial</w:t>
      </w:r>
      <w:r w:rsidRPr="00F5094B">
        <w:rPr>
          <w:rFonts w:eastAsia="Calibri" w:cs="Times New Roman"/>
          <w:szCs w:val="24"/>
          <w:u w:val="single"/>
          <w:lang w:eastAsia="ko-KR"/>
        </w:rPr>
        <w:t xml:space="preserve"> </w:t>
      </w:r>
      <w:r>
        <w:rPr>
          <w:rFonts w:eastAsia="Calibri" w:cs="Times New Roman"/>
          <w:szCs w:val="24"/>
          <w:u w:val="single"/>
          <w:lang w:eastAsia="ko-KR"/>
        </w:rPr>
        <w:t>factors</w:t>
      </w:r>
      <w:r>
        <w:rPr>
          <w:rFonts w:eastAsia="Calibri" w:cs="Times New Roman"/>
          <w:szCs w:val="24"/>
          <w:lang w:eastAsia="ko-KR"/>
        </w:rPr>
        <w:t xml:space="preserve">: regional location, </w:t>
      </w:r>
      <w:r>
        <w:t xml:space="preserve">tourism status and airport density. </w:t>
      </w:r>
      <w:r w:rsidRPr="006B465D">
        <w:rPr>
          <w:rFonts w:eastAsia="Calibri" w:cs="Times New Roman"/>
          <w:szCs w:val="24"/>
          <w:lang w:eastAsia="ko-KR"/>
        </w:rPr>
        <w:t>Further, both the COVID-19 transmission and mobility trends will be used as an independent</w:t>
      </w:r>
      <w:r>
        <w:rPr>
          <w:rFonts w:eastAsia="Calibri" w:cs="Times New Roman"/>
          <w:szCs w:val="24"/>
          <w:lang w:eastAsia="ko-KR"/>
        </w:rPr>
        <w:t xml:space="preserve"> v</w:t>
      </w:r>
      <w:r w:rsidRPr="006B465D">
        <w:rPr>
          <w:rFonts w:eastAsia="Calibri" w:cs="Times New Roman"/>
          <w:szCs w:val="24"/>
          <w:lang w:eastAsia="ko-KR"/>
        </w:rPr>
        <w:t xml:space="preserve">ariable in </w:t>
      </w:r>
      <w:r>
        <w:rPr>
          <w:rFonts w:eastAsia="Calibri" w:cs="Times New Roman"/>
          <w:szCs w:val="24"/>
          <w:lang w:eastAsia="ko-KR"/>
        </w:rPr>
        <w:t xml:space="preserve">the other </w:t>
      </w:r>
      <w:r w:rsidRPr="006B465D">
        <w:rPr>
          <w:rFonts w:eastAsia="Calibri" w:cs="Times New Roman"/>
          <w:szCs w:val="24"/>
          <w:lang w:eastAsia="ko-KR"/>
        </w:rPr>
        <w:t>equation.</w:t>
      </w:r>
      <w:r>
        <w:rPr>
          <w:rFonts w:eastAsia="Calibri" w:cs="Times New Roman"/>
          <w:szCs w:val="24"/>
          <w:lang w:eastAsia="ko-KR"/>
        </w:rPr>
        <w:t xml:space="preserve"> </w:t>
      </w:r>
      <w:r>
        <w:rPr>
          <w:rFonts w:cs="Times New Roman"/>
          <w:szCs w:val="24"/>
        </w:rPr>
        <w:t>An exhaustive list of these variables are presented in Table 1. The reader would note that out of 1,986 counties,</w:t>
      </w:r>
      <w:r>
        <w:t xml:space="preserve"> we randomly selected 1,755 counties as our estimation sample and the remaining 231 counties were set aside for the validation exercise.  </w:t>
      </w:r>
    </w:p>
    <w:p w14:paraId="7AAD403B" w14:textId="77777777" w:rsidR="001823E0" w:rsidRDefault="001823E0" w:rsidP="00EB5197">
      <w:pPr>
        <w:ind w:firstLine="432"/>
        <w:rPr>
          <w:rFonts w:cs="Times New Roman"/>
        </w:rPr>
      </w:pPr>
    </w:p>
    <w:p w14:paraId="5F917D1F" w14:textId="77777777" w:rsidR="001823E0" w:rsidRDefault="001823E0" w:rsidP="00EB5197">
      <w:pPr>
        <w:rPr>
          <w:rFonts w:eastAsia="Calibri" w:cs="Times New Roman"/>
          <w:szCs w:val="24"/>
          <w:lang w:eastAsia="ko-KR"/>
        </w:rPr>
      </w:pPr>
      <w:r>
        <w:rPr>
          <w:noProof/>
        </w:rPr>
        <w:lastRenderedPageBreak/>
        <w:drawing>
          <wp:inline distT="0" distB="0" distL="0" distR="0" wp14:anchorId="30F01D5E" wp14:editId="06A35B8B">
            <wp:extent cx="5898889" cy="2999232"/>
            <wp:effectExtent l="19050" t="19050" r="26035" b="10795"/>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14"/>
                    <a:stretch>
                      <a:fillRect/>
                    </a:stretch>
                  </pic:blipFill>
                  <pic:spPr>
                    <a:xfrm>
                      <a:off x="0" y="0"/>
                      <a:ext cx="5898889" cy="2999232"/>
                    </a:xfrm>
                    <a:prstGeom prst="rect">
                      <a:avLst/>
                    </a:prstGeom>
                    <a:ln>
                      <a:solidFill>
                        <a:schemeClr val="bg2">
                          <a:lumMod val="50000"/>
                        </a:schemeClr>
                      </a:solidFill>
                    </a:ln>
                  </pic:spPr>
                </pic:pic>
              </a:graphicData>
            </a:graphic>
          </wp:inline>
        </w:drawing>
      </w:r>
    </w:p>
    <w:p w14:paraId="6B79EFA1" w14:textId="77777777" w:rsidR="001823E0" w:rsidRDefault="001823E0" w:rsidP="00EB5197">
      <w:pPr>
        <w:jc w:val="left"/>
        <w:rPr>
          <w:rFonts w:cs="Times New Roman"/>
          <w:szCs w:val="24"/>
        </w:rPr>
      </w:pPr>
      <w:r w:rsidRPr="00D17167">
        <w:rPr>
          <w:rFonts w:cs="Times New Roman"/>
          <w:b/>
          <w:bCs/>
          <w:szCs w:val="24"/>
        </w:rPr>
        <w:t>Figure 1</w:t>
      </w:r>
      <w:r>
        <w:rPr>
          <w:rFonts w:cs="Times New Roman"/>
          <w:szCs w:val="24"/>
        </w:rPr>
        <w:t>: Weekly COVID-19 Transmission Rate and Mobility Trends in US (1,986 counties)</w:t>
      </w:r>
    </w:p>
    <w:p w14:paraId="282BC57D" w14:textId="77777777" w:rsidR="001823E0" w:rsidRDefault="001823E0" w:rsidP="00EB5197">
      <w:pPr>
        <w:ind w:firstLine="432"/>
        <w:rPr>
          <w:rFonts w:cs="Times New Roman"/>
          <w:szCs w:val="24"/>
        </w:rPr>
      </w:pPr>
    </w:p>
    <w:p w14:paraId="660DB704" w14:textId="4CBBF878" w:rsidR="00A53017" w:rsidRDefault="002165A3" w:rsidP="00EB5197">
      <w:pPr>
        <w:rPr>
          <w:rFonts w:eastAsia="Calibri" w:cs="Times New Roman"/>
          <w:szCs w:val="24"/>
          <w:lang w:eastAsia="ko-KR"/>
        </w:rPr>
      </w:pPr>
      <w:r w:rsidRPr="002165A3">
        <w:rPr>
          <w:rFonts w:eastAsia="Calibri" w:cs="Times New Roman"/>
          <w:b/>
          <w:bCs/>
          <w:szCs w:val="24"/>
          <w:lang w:eastAsia="ko-KR"/>
        </w:rPr>
        <w:t>Table 1</w:t>
      </w:r>
      <w:r w:rsidRPr="002165A3">
        <w:rPr>
          <w:rFonts w:eastAsia="Calibri" w:cs="Times New Roman"/>
          <w:szCs w:val="24"/>
          <w:lang w:eastAsia="ko-KR"/>
        </w:rPr>
        <w:t xml:space="preserve"> Descriptive Statistics of the Dependent and Independent Variables</w:t>
      </w: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1147"/>
        <w:gridCol w:w="877"/>
        <w:gridCol w:w="1602"/>
        <w:gridCol w:w="933"/>
      </w:tblGrid>
      <w:tr w:rsidR="00046E1E" w:rsidRPr="005E3A54" w14:paraId="4123B660" w14:textId="77777777" w:rsidTr="000C0C92">
        <w:trPr>
          <w:trHeight w:val="216"/>
        </w:trPr>
        <w:tc>
          <w:tcPr>
            <w:tcW w:w="2561" w:type="pct"/>
            <w:tcBorders>
              <w:top w:val="double" w:sz="4" w:space="0" w:color="auto"/>
              <w:left w:val="double" w:sz="4" w:space="0" w:color="auto"/>
              <w:bottom w:val="double" w:sz="4" w:space="0" w:color="auto"/>
            </w:tcBorders>
            <w:shd w:val="clear" w:color="auto" w:fill="auto"/>
            <w:noWrap/>
            <w:vAlign w:val="center"/>
            <w:hideMark/>
          </w:tcPr>
          <w:p w14:paraId="1BC7EC2D" w14:textId="77777777" w:rsidR="00046E1E" w:rsidRPr="005E3A54" w:rsidRDefault="00046E1E" w:rsidP="00EB5197">
            <w:pPr>
              <w:jc w:val="center"/>
              <w:rPr>
                <w:rFonts w:eastAsia="Times New Roman" w:cs="Times New Roman"/>
                <w:b/>
                <w:bCs/>
                <w:color w:val="000000"/>
                <w:sz w:val="22"/>
              </w:rPr>
            </w:pPr>
            <w:r w:rsidRPr="005E3A54">
              <w:rPr>
                <w:rFonts w:eastAsia="Times New Roman" w:cs="Times New Roman"/>
                <w:b/>
                <w:bCs/>
                <w:color w:val="000000"/>
                <w:sz w:val="22"/>
              </w:rPr>
              <w:t>Variables</w:t>
            </w:r>
          </w:p>
        </w:tc>
        <w:tc>
          <w:tcPr>
            <w:tcW w:w="614" w:type="pct"/>
            <w:tcBorders>
              <w:top w:val="double" w:sz="4" w:space="0" w:color="auto"/>
              <w:bottom w:val="double" w:sz="4" w:space="0" w:color="auto"/>
            </w:tcBorders>
            <w:shd w:val="clear" w:color="auto" w:fill="auto"/>
            <w:noWrap/>
            <w:vAlign w:val="center"/>
            <w:hideMark/>
          </w:tcPr>
          <w:p w14:paraId="5FBC419A" w14:textId="77777777" w:rsidR="00046E1E" w:rsidRPr="005E3A54" w:rsidRDefault="00046E1E" w:rsidP="00EB5197">
            <w:pPr>
              <w:jc w:val="left"/>
              <w:rPr>
                <w:rFonts w:eastAsia="Times New Roman" w:cs="Times New Roman"/>
                <w:b/>
                <w:bCs/>
                <w:color w:val="000000"/>
                <w:sz w:val="22"/>
              </w:rPr>
            </w:pPr>
            <w:r w:rsidRPr="005E3A54">
              <w:rPr>
                <w:rFonts w:eastAsia="Times New Roman" w:cs="Times New Roman"/>
                <w:b/>
                <w:bCs/>
                <w:color w:val="000000"/>
                <w:sz w:val="22"/>
              </w:rPr>
              <w:t>Source</w:t>
            </w:r>
          </w:p>
        </w:tc>
        <w:tc>
          <w:tcPr>
            <w:tcW w:w="469" w:type="pct"/>
            <w:tcBorders>
              <w:top w:val="double" w:sz="4" w:space="0" w:color="auto"/>
              <w:bottom w:val="double" w:sz="4" w:space="0" w:color="auto"/>
            </w:tcBorders>
            <w:shd w:val="clear" w:color="auto" w:fill="auto"/>
            <w:noWrap/>
            <w:vAlign w:val="center"/>
            <w:hideMark/>
          </w:tcPr>
          <w:p w14:paraId="542DA72E" w14:textId="77777777" w:rsidR="00046E1E" w:rsidRPr="005E3A54" w:rsidRDefault="00046E1E" w:rsidP="00EB5197">
            <w:pPr>
              <w:jc w:val="left"/>
              <w:rPr>
                <w:rFonts w:eastAsia="Times New Roman" w:cs="Times New Roman"/>
                <w:b/>
                <w:bCs/>
                <w:color w:val="000000"/>
                <w:sz w:val="22"/>
              </w:rPr>
            </w:pPr>
            <w:r w:rsidRPr="005E3A54">
              <w:rPr>
                <w:rFonts w:eastAsia="Times New Roman" w:cs="Times New Roman"/>
                <w:b/>
                <w:bCs/>
                <w:color w:val="000000"/>
                <w:sz w:val="22"/>
              </w:rPr>
              <w:t>Mean</w:t>
            </w:r>
          </w:p>
        </w:tc>
        <w:tc>
          <w:tcPr>
            <w:tcW w:w="857" w:type="pct"/>
            <w:tcBorders>
              <w:top w:val="double" w:sz="4" w:space="0" w:color="auto"/>
              <w:bottom w:val="double" w:sz="4" w:space="0" w:color="auto"/>
            </w:tcBorders>
            <w:shd w:val="clear" w:color="auto" w:fill="auto"/>
            <w:noWrap/>
            <w:vAlign w:val="center"/>
            <w:hideMark/>
          </w:tcPr>
          <w:p w14:paraId="767381AD" w14:textId="77777777" w:rsidR="00046E1E" w:rsidRPr="005E3A54" w:rsidRDefault="00046E1E" w:rsidP="00EB5197">
            <w:pPr>
              <w:jc w:val="left"/>
              <w:rPr>
                <w:rFonts w:eastAsia="Times New Roman" w:cs="Times New Roman"/>
                <w:b/>
                <w:bCs/>
                <w:color w:val="000000"/>
                <w:sz w:val="22"/>
              </w:rPr>
            </w:pPr>
            <w:r w:rsidRPr="005E3A54">
              <w:rPr>
                <w:rFonts w:eastAsia="Times New Roman" w:cs="Times New Roman"/>
                <w:b/>
                <w:bCs/>
                <w:color w:val="000000"/>
                <w:sz w:val="22"/>
              </w:rPr>
              <w:t>Min/Max</w:t>
            </w:r>
          </w:p>
        </w:tc>
        <w:tc>
          <w:tcPr>
            <w:tcW w:w="499" w:type="pct"/>
            <w:tcBorders>
              <w:top w:val="double" w:sz="4" w:space="0" w:color="auto"/>
              <w:right w:val="double" w:sz="4" w:space="0" w:color="auto"/>
            </w:tcBorders>
            <w:shd w:val="clear" w:color="auto" w:fill="auto"/>
            <w:noWrap/>
            <w:vAlign w:val="center"/>
            <w:hideMark/>
          </w:tcPr>
          <w:p w14:paraId="4842AE40" w14:textId="77777777" w:rsidR="00046E1E" w:rsidRPr="005E3A54" w:rsidRDefault="00046E1E" w:rsidP="00EB5197">
            <w:pPr>
              <w:jc w:val="left"/>
              <w:rPr>
                <w:rFonts w:eastAsia="Times New Roman" w:cs="Times New Roman"/>
                <w:b/>
                <w:bCs/>
                <w:color w:val="000000"/>
                <w:sz w:val="22"/>
              </w:rPr>
            </w:pPr>
            <w:r w:rsidRPr="005E3A54">
              <w:rPr>
                <w:rFonts w:eastAsia="Times New Roman" w:cs="Times New Roman"/>
                <w:b/>
                <w:bCs/>
                <w:color w:val="000000"/>
                <w:sz w:val="22"/>
              </w:rPr>
              <w:t>Sample Size</w:t>
            </w:r>
          </w:p>
        </w:tc>
      </w:tr>
      <w:tr w:rsidR="00046E1E" w:rsidRPr="005E3A54" w14:paraId="4A741AA1" w14:textId="77777777" w:rsidTr="000C0C92">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21854A6" w14:textId="77777777" w:rsidR="00046E1E" w:rsidRPr="005E3A54" w:rsidRDefault="00046E1E" w:rsidP="00EB5197">
            <w:pPr>
              <w:jc w:val="left"/>
              <w:rPr>
                <w:rFonts w:eastAsia="Times New Roman" w:cs="Times New Roman"/>
                <w:b/>
                <w:bCs/>
                <w:color w:val="000000"/>
                <w:sz w:val="22"/>
              </w:rPr>
            </w:pPr>
            <w:r w:rsidRPr="005E3A54">
              <w:rPr>
                <w:rFonts w:eastAsia="Times New Roman" w:cs="Times New Roman"/>
                <w:b/>
                <w:bCs/>
                <w:color w:val="000000"/>
                <w:sz w:val="22"/>
              </w:rPr>
              <w:t>Dependent Variables</w:t>
            </w:r>
          </w:p>
        </w:tc>
      </w:tr>
      <w:tr w:rsidR="00046E1E" w:rsidRPr="005E3A54" w14:paraId="447B4084" w14:textId="77777777" w:rsidTr="000C0C92">
        <w:trPr>
          <w:trHeight w:val="216"/>
        </w:trPr>
        <w:tc>
          <w:tcPr>
            <w:tcW w:w="2561" w:type="pct"/>
            <w:tcBorders>
              <w:top w:val="double" w:sz="4" w:space="0" w:color="auto"/>
              <w:left w:val="double" w:sz="4" w:space="0" w:color="auto"/>
            </w:tcBorders>
            <w:shd w:val="clear" w:color="auto" w:fill="auto"/>
            <w:noWrap/>
            <w:vAlign w:val="center"/>
            <w:hideMark/>
          </w:tcPr>
          <w:p w14:paraId="632E6069"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Ln (COVID case per 100 people)</w:t>
            </w:r>
          </w:p>
        </w:tc>
        <w:tc>
          <w:tcPr>
            <w:tcW w:w="614" w:type="pct"/>
            <w:tcBorders>
              <w:top w:val="double" w:sz="4" w:space="0" w:color="auto"/>
            </w:tcBorders>
            <w:shd w:val="clear" w:color="auto" w:fill="auto"/>
            <w:noWrap/>
            <w:vAlign w:val="center"/>
            <w:hideMark/>
          </w:tcPr>
          <w:p w14:paraId="053598C1" w14:textId="77777777" w:rsidR="00046E1E" w:rsidRPr="005E3A54" w:rsidRDefault="00046E1E" w:rsidP="00EB5197">
            <w:pPr>
              <w:jc w:val="left"/>
              <w:rPr>
                <w:rFonts w:eastAsia="Times New Roman" w:cs="Times New Roman"/>
                <w:color w:val="000000"/>
                <w:sz w:val="22"/>
                <w:vertAlign w:val="superscript"/>
              </w:rPr>
            </w:pPr>
            <w:r w:rsidRPr="005E3A54">
              <w:rPr>
                <w:rFonts w:eastAsia="Times New Roman" w:cs="Times New Roman"/>
                <w:color w:val="000000"/>
                <w:sz w:val="22"/>
              </w:rPr>
              <w:t>CSSE</w:t>
            </w:r>
            <w:r w:rsidRPr="005E3A54">
              <w:rPr>
                <w:rFonts w:eastAsia="Times New Roman" w:cs="Times New Roman"/>
                <w:color w:val="000000"/>
                <w:sz w:val="22"/>
                <w:vertAlign w:val="superscript"/>
              </w:rPr>
              <w:t xml:space="preserve"> a</w:t>
            </w:r>
          </w:p>
        </w:tc>
        <w:tc>
          <w:tcPr>
            <w:tcW w:w="469" w:type="pct"/>
            <w:tcBorders>
              <w:top w:val="double" w:sz="4" w:space="0" w:color="auto"/>
            </w:tcBorders>
            <w:shd w:val="clear" w:color="auto" w:fill="auto"/>
            <w:noWrap/>
            <w:vAlign w:val="center"/>
          </w:tcPr>
          <w:p w14:paraId="7431DA35" w14:textId="77777777" w:rsidR="00046E1E" w:rsidRPr="005E3A54" w:rsidRDefault="00046E1E" w:rsidP="00EB5197">
            <w:pPr>
              <w:jc w:val="left"/>
              <w:rPr>
                <w:rFonts w:eastAsia="Times New Roman" w:cs="Times New Roman"/>
                <w:color w:val="000000"/>
                <w:sz w:val="22"/>
              </w:rPr>
            </w:pPr>
            <w:r>
              <w:rPr>
                <w:rFonts w:eastAsia="Times New Roman" w:cs="Times New Roman"/>
                <w:color w:val="000000"/>
                <w:sz w:val="22"/>
              </w:rPr>
              <w:t>4.235</w:t>
            </w:r>
          </w:p>
        </w:tc>
        <w:tc>
          <w:tcPr>
            <w:tcW w:w="857" w:type="pct"/>
            <w:tcBorders>
              <w:top w:val="double" w:sz="4" w:space="0" w:color="auto"/>
            </w:tcBorders>
            <w:shd w:val="clear" w:color="auto" w:fill="auto"/>
            <w:noWrap/>
            <w:vAlign w:val="center"/>
            <w:hideMark/>
          </w:tcPr>
          <w:p w14:paraId="378D2900"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w:t>
            </w:r>
            <w:r>
              <w:rPr>
                <w:rFonts w:eastAsia="Times New Roman" w:cs="Times New Roman"/>
                <w:color w:val="000000"/>
                <w:sz w:val="22"/>
              </w:rPr>
              <w:t>9.297</w:t>
            </w:r>
          </w:p>
        </w:tc>
        <w:tc>
          <w:tcPr>
            <w:tcW w:w="499" w:type="pct"/>
            <w:tcBorders>
              <w:top w:val="double" w:sz="4" w:space="0" w:color="auto"/>
              <w:right w:val="double" w:sz="4" w:space="0" w:color="auto"/>
            </w:tcBorders>
            <w:shd w:val="clear" w:color="auto" w:fill="auto"/>
            <w:noWrap/>
            <w:vAlign w:val="center"/>
            <w:hideMark/>
          </w:tcPr>
          <w:p w14:paraId="3D6AC7AE" w14:textId="77777777" w:rsidR="00046E1E" w:rsidRPr="005E3A54" w:rsidRDefault="00046E1E" w:rsidP="00EB5197">
            <w:pPr>
              <w:jc w:val="left"/>
              <w:rPr>
                <w:rFonts w:eastAsia="Times New Roman" w:cs="Times New Roman"/>
                <w:color w:val="000000"/>
                <w:sz w:val="22"/>
              </w:rPr>
            </w:pPr>
            <w:r>
              <w:rPr>
                <w:rFonts w:eastAsia="Times New Roman" w:cs="Times New Roman"/>
                <w:color w:val="000000"/>
                <w:sz w:val="22"/>
              </w:rPr>
              <w:t>129</w:t>
            </w:r>
            <w:r w:rsidRPr="005E3A54">
              <w:rPr>
                <w:rFonts w:eastAsia="Times New Roman" w:cs="Times New Roman"/>
                <w:color w:val="000000"/>
                <w:sz w:val="22"/>
              </w:rPr>
              <w:t>,</w:t>
            </w:r>
            <w:r>
              <w:rPr>
                <w:rFonts w:eastAsia="Times New Roman" w:cs="Times New Roman"/>
                <w:color w:val="000000"/>
                <w:sz w:val="22"/>
              </w:rPr>
              <w:t>870</w:t>
            </w:r>
          </w:p>
        </w:tc>
      </w:tr>
      <w:tr w:rsidR="00046E1E" w:rsidRPr="005E3A54" w14:paraId="484FE2F8" w14:textId="77777777" w:rsidTr="000C0C92">
        <w:trPr>
          <w:trHeight w:val="216"/>
        </w:trPr>
        <w:tc>
          <w:tcPr>
            <w:tcW w:w="2561" w:type="pct"/>
            <w:tcBorders>
              <w:left w:val="double" w:sz="4" w:space="0" w:color="auto"/>
            </w:tcBorders>
            <w:shd w:val="clear" w:color="auto" w:fill="auto"/>
            <w:noWrap/>
            <w:vAlign w:val="center"/>
            <w:hideMark/>
          </w:tcPr>
          <w:p w14:paraId="4766EDC8"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Ln (Daily Average Exposure)</w:t>
            </w:r>
          </w:p>
        </w:tc>
        <w:tc>
          <w:tcPr>
            <w:tcW w:w="614" w:type="pct"/>
            <w:shd w:val="clear" w:color="auto" w:fill="auto"/>
            <w:noWrap/>
            <w:hideMark/>
          </w:tcPr>
          <w:p w14:paraId="52BCE5BA" w14:textId="77777777" w:rsidR="00046E1E" w:rsidRPr="005E3A54" w:rsidRDefault="00046E1E" w:rsidP="00EB5197">
            <w:pPr>
              <w:jc w:val="left"/>
              <w:rPr>
                <w:rFonts w:eastAsia="Times New Roman" w:cs="Times New Roman"/>
                <w:color w:val="000000"/>
                <w:sz w:val="22"/>
              </w:rPr>
            </w:pPr>
            <w:proofErr w:type="spellStart"/>
            <w:r w:rsidRPr="005E3A54">
              <w:rPr>
                <w:rFonts w:eastAsia="Times New Roman" w:cs="Times New Roman"/>
                <w:color w:val="000000"/>
                <w:sz w:val="22"/>
              </w:rPr>
              <w:t>CEI</w:t>
            </w:r>
            <w:r>
              <w:rPr>
                <w:rFonts w:eastAsia="Times New Roman" w:cs="Times New Roman"/>
                <w:color w:val="000000"/>
                <w:sz w:val="22"/>
                <w:vertAlign w:val="superscript"/>
              </w:rPr>
              <w:t>b</w:t>
            </w:r>
            <w:proofErr w:type="spellEnd"/>
          </w:p>
        </w:tc>
        <w:tc>
          <w:tcPr>
            <w:tcW w:w="469" w:type="pct"/>
            <w:shd w:val="clear" w:color="auto" w:fill="auto"/>
            <w:noWrap/>
            <w:vAlign w:val="center"/>
          </w:tcPr>
          <w:p w14:paraId="33C5E2C5" w14:textId="77777777" w:rsidR="00046E1E" w:rsidRPr="005E3A54" w:rsidRDefault="00046E1E" w:rsidP="00EB5197">
            <w:pPr>
              <w:jc w:val="left"/>
              <w:rPr>
                <w:rFonts w:eastAsia="Times New Roman" w:cs="Times New Roman"/>
                <w:color w:val="000000"/>
                <w:sz w:val="22"/>
              </w:rPr>
            </w:pPr>
            <w:r>
              <w:rPr>
                <w:rFonts w:eastAsia="Times New Roman" w:cs="Times New Roman"/>
                <w:color w:val="000000"/>
                <w:sz w:val="22"/>
              </w:rPr>
              <w:t>4.544</w:t>
            </w:r>
          </w:p>
        </w:tc>
        <w:tc>
          <w:tcPr>
            <w:tcW w:w="857" w:type="pct"/>
            <w:shd w:val="clear" w:color="auto" w:fill="auto"/>
            <w:noWrap/>
            <w:hideMark/>
          </w:tcPr>
          <w:p w14:paraId="49995D02" w14:textId="77777777" w:rsidR="00046E1E" w:rsidRPr="005E3A54" w:rsidRDefault="00046E1E" w:rsidP="00EB5197">
            <w:pPr>
              <w:jc w:val="left"/>
              <w:rPr>
                <w:rFonts w:eastAsia="Times New Roman" w:cs="Times New Roman"/>
                <w:color w:val="000000"/>
                <w:sz w:val="22"/>
              </w:rPr>
            </w:pPr>
            <w:r>
              <w:rPr>
                <w:rFonts w:eastAsia="Times New Roman" w:cs="Times New Roman"/>
                <w:color w:val="000000"/>
                <w:sz w:val="22"/>
              </w:rPr>
              <w:t>1.574</w:t>
            </w:r>
            <w:r w:rsidRPr="005E3A54">
              <w:rPr>
                <w:rFonts w:eastAsia="Times New Roman" w:cs="Times New Roman"/>
                <w:color w:val="000000"/>
                <w:sz w:val="22"/>
              </w:rPr>
              <w:t>/</w:t>
            </w:r>
            <w:r>
              <w:rPr>
                <w:rFonts w:eastAsia="Times New Roman" w:cs="Times New Roman"/>
                <w:color w:val="000000"/>
                <w:sz w:val="22"/>
              </w:rPr>
              <w:t>6.824</w:t>
            </w:r>
          </w:p>
        </w:tc>
        <w:tc>
          <w:tcPr>
            <w:tcW w:w="499" w:type="pct"/>
            <w:tcBorders>
              <w:right w:val="double" w:sz="4" w:space="0" w:color="auto"/>
            </w:tcBorders>
            <w:shd w:val="clear" w:color="auto" w:fill="auto"/>
            <w:noWrap/>
            <w:hideMark/>
          </w:tcPr>
          <w:p w14:paraId="1B91ED78" w14:textId="77777777" w:rsidR="00046E1E" w:rsidRPr="005E3A54" w:rsidRDefault="00046E1E" w:rsidP="00EB5197">
            <w:pPr>
              <w:jc w:val="left"/>
              <w:rPr>
                <w:rFonts w:eastAsia="Times New Roman" w:cs="Times New Roman"/>
                <w:color w:val="000000"/>
                <w:sz w:val="22"/>
              </w:rPr>
            </w:pPr>
            <w:r>
              <w:rPr>
                <w:rFonts w:eastAsia="Times New Roman" w:cs="Times New Roman"/>
                <w:color w:val="000000"/>
                <w:sz w:val="22"/>
              </w:rPr>
              <w:t>129</w:t>
            </w:r>
            <w:r w:rsidRPr="005E3A54">
              <w:rPr>
                <w:rFonts w:eastAsia="Times New Roman" w:cs="Times New Roman"/>
                <w:color w:val="000000"/>
                <w:sz w:val="22"/>
              </w:rPr>
              <w:t>,</w:t>
            </w:r>
            <w:r>
              <w:rPr>
                <w:rFonts w:eastAsia="Times New Roman" w:cs="Times New Roman"/>
                <w:color w:val="000000"/>
                <w:sz w:val="22"/>
              </w:rPr>
              <w:t>870</w:t>
            </w:r>
          </w:p>
        </w:tc>
      </w:tr>
      <w:tr w:rsidR="00046E1E" w:rsidRPr="005E3A54" w14:paraId="475A6BC1" w14:textId="77777777" w:rsidTr="000C0C92">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3BC31DC9"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b/>
                <w:bCs/>
                <w:color w:val="000000"/>
                <w:sz w:val="22"/>
              </w:rPr>
              <w:t>Independent Variables</w:t>
            </w:r>
          </w:p>
        </w:tc>
      </w:tr>
      <w:tr w:rsidR="00046E1E" w:rsidRPr="005E3A54" w14:paraId="49C3E8DD" w14:textId="77777777" w:rsidTr="000C0C92">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tcPr>
          <w:p w14:paraId="72E4ACBE" w14:textId="77777777" w:rsidR="00046E1E" w:rsidRPr="00524E60" w:rsidRDefault="00046E1E" w:rsidP="00EB5197">
            <w:pPr>
              <w:rPr>
                <w:rFonts w:eastAsia="Times New Roman" w:cs="Times New Roman"/>
                <w:color w:val="000000"/>
                <w:sz w:val="22"/>
              </w:rPr>
            </w:pPr>
            <w:r w:rsidRPr="00524E60">
              <w:rPr>
                <w:rFonts w:eastAsia="Times New Roman" w:cs="Times New Roman"/>
                <w:i/>
                <w:iCs/>
                <w:color w:val="000000"/>
                <w:sz w:val="22"/>
              </w:rPr>
              <w:t>Demographic Characteristics</w:t>
            </w:r>
          </w:p>
        </w:tc>
      </w:tr>
      <w:tr w:rsidR="00046E1E" w:rsidRPr="005E3A54" w14:paraId="67A5B167" w14:textId="77777777" w:rsidTr="000C0C92">
        <w:trPr>
          <w:trHeight w:val="216"/>
        </w:trPr>
        <w:tc>
          <w:tcPr>
            <w:tcW w:w="2561" w:type="pct"/>
            <w:tcBorders>
              <w:top w:val="double" w:sz="4" w:space="0" w:color="auto"/>
              <w:left w:val="double" w:sz="4" w:space="0" w:color="auto"/>
            </w:tcBorders>
            <w:shd w:val="clear" w:color="auto" w:fill="auto"/>
            <w:noWrap/>
          </w:tcPr>
          <w:p w14:paraId="7BC9393A"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Young people percentage</w:t>
            </w:r>
          </w:p>
        </w:tc>
        <w:tc>
          <w:tcPr>
            <w:tcW w:w="614" w:type="pct"/>
            <w:tcBorders>
              <w:top w:val="double" w:sz="4" w:space="0" w:color="auto"/>
            </w:tcBorders>
            <w:shd w:val="clear" w:color="auto" w:fill="auto"/>
            <w:noWrap/>
            <w:vAlign w:val="center"/>
          </w:tcPr>
          <w:p w14:paraId="71A56931" w14:textId="77777777" w:rsidR="00046E1E" w:rsidRPr="005E3A54" w:rsidRDefault="00046E1E" w:rsidP="00EB5197">
            <w:pPr>
              <w:jc w:val="left"/>
              <w:rPr>
                <w:rFonts w:eastAsia="Times New Roman" w:cs="Times New Roman"/>
                <w:color w:val="000000"/>
                <w:sz w:val="22"/>
                <w:vertAlign w:val="superscript"/>
              </w:rPr>
            </w:pPr>
            <w:proofErr w:type="spellStart"/>
            <w:r w:rsidRPr="005E3A54">
              <w:rPr>
                <w:rFonts w:eastAsia="Times New Roman" w:cs="Times New Roman"/>
                <w:color w:val="000000"/>
                <w:sz w:val="22"/>
              </w:rPr>
              <w:t>ACS</w:t>
            </w:r>
            <w:r>
              <w:rPr>
                <w:rFonts w:eastAsia="Times New Roman" w:cs="Times New Roman"/>
                <w:color w:val="000000"/>
                <w:sz w:val="22"/>
                <w:vertAlign w:val="superscript"/>
              </w:rPr>
              <w:t>c</w:t>
            </w:r>
            <w:proofErr w:type="spellEnd"/>
          </w:p>
        </w:tc>
        <w:tc>
          <w:tcPr>
            <w:tcW w:w="469" w:type="pct"/>
            <w:tcBorders>
              <w:top w:val="double" w:sz="4" w:space="0" w:color="auto"/>
            </w:tcBorders>
            <w:shd w:val="clear" w:color="auto" w:fill="auto"/>
            <w:noWrap/>
            <w:vAlign w:val="center"/>
          </w:tcPr>
          <w:p w14:paraId="71C17834"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22.403</w:t>
            </w:r>
          </w:p>
        </w:tc>
        <w:tc>
          <w:tcPr>
            <w:tcW w:w="857" w:type="pct"/>
            <w:tcBorders>
              <w:top w:val="double" w:sz="4" w:space="0" w:color="auto"/>
            </w:tcBorders>
            <w:shd w:val="clear" w:color="auto" w:fill="auto"/>
            <w:noWrap/>
            <w:vAlign w:val="center"/>
          </w:tcPr>
          <w:p w14:paraId="262D6964"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7.155/35.987</w:t>
            </w:r>
          </w:p>
        </w:tc>
        <w:tc>
          <w:tcPr>
            <w:tcW w:w="499" w:type="pct"/>
            <w:tcBorders>
              <w:top w:val="double" w:sz="4" w:space="0" w:color="auto"/>
              <w:right w:val="double" w:sz="4" w:space="0" w:color="auto"/>
            </w:tcBorders>
            <w:shd w:val="clear" w:color="auto" w:fill="auto"/>
            <w:noWrap/>
          </w:tcPr>
          <w:p w14:paraId="3730D69A" w14:textId="77777777" w:rsidR="00046E1E" w:rsidRPr="005E3A54" w:rsidRDefault="00046E1E" w:rsidP="00EB5197">
            <w:pPr>
              <w:jc w:val="left"/>
              <w:rPr>
                <w:rFonts w:eastAsia="Times New Roman" w:cs="Times New Roman"/>
                <w:color w:val="000000"/>
                <w:sz w:val="22"/>
              </w:rPr>
            </w:pPr>
            <w:r w:rsidRPr="00BD2C54">
              <w:rPr>
                <w:rFonts w:eastAsia="Times New Roman" w:cs="Times New Roman"/>
                <w:color w:val="000000"/>
                <w:sz w:val="22"/>
              </w:rPr>
              <w:t>1755</w:t>
            </w:r>
          </w:p>
        </w:tc>
      </w:tr>
      <w:tr w:rsidR="00046E1E" w:rsidRPr="005E3A54" w14:paraId="4F5BD459" w14:textId="77777777" w:rsidTr="000C0C92">
        <w:trPr>
          <w:trHeight w:val="216"/>
        </w:trPr>
        <w:tc>
          <w:tcPr>
            <w:tcW w:w="2561" w:type="pct"/>
            <w:tcBorders>
              <w:top w:val="double" w:sz="4" w:space="0" w:color="auto"/>
              <w:left w:val="double" w:sz="4" w:space="0" w:color="auto"/>
            </w:tcBorders>
            <w:shd w:val="clear" w:color="auto" w:fill="auto"/>
            <w:noWrap/>
          </w:tcPr>
          <w:p w14:paraId="5A93A5FE"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Senior people percentages</w:t>
            </w:r>
          </w:p>
        </w:tc>
        <w:tc>
          <w:tcPr>
            <w:tcW w:w="614" w:type="pct"/>
            <w:tcBorders>
              <w:top w:val="double" w:sz="4" w:space="0" w:color="auto"/>
            </w:tcBorders>
            <w:shd w:val="clear" w:color="auto" w:fill="auto"/>
            <w:noWrap/>
            <w:vAlign w:val="center"/>
          </w:tcPr>
          <w:p w14:paraId="6D53D87D"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ACS</w:t>
            </w:r>
          </w:p>
        </w:tc>
        <w:tc>
          <w:tcPr>
            <w:tcW w:w="469" w:type="pct"/>
            <w:tcBorders>
              <w:top w:val="double" w:sz="4" w:space="0" w:color="auto"/>
            </w:tcBorders>
            <w:shd w:val="clear" w:color="auto" w:fill="auto"/>
            <w:noWrap/>
            <w:vAlign w:val="center"/>
          </w:tcPr>
          <w:p w14:paraId="44A51DBC"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17.558</w:t>
            </w:r>
          </w:p>
        </w:tc>
        <w:tc>
          <w:tcPr>
            <w:tcW w:w="857" w:type="pct"/>
            <w:tcBorders>
              <w:top w:val="double" w:sz="4" w:space="0" w:color="auto"/>
            </w:tcBorders>
            <w:shd w:val="clear" w:color="auto" w:fill="auto"/>
            <w:noWrap/>
            <w:vAlign w:val="center"/>
          </w:tcPr>
          <w:p w14:paraId="0D72858C"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6.724 /56.944</w:t>
            </w:r>
          </w:p>
        </w:tc>
        <w:tc>
          <w:tcPr>
            <w:tcW w:w="499" w:type="pct"/>
            <w:tcBorders>
              <w:top w:val="double" w:sz="4" w:space="0" w:color="auto"/>
              <w:right w:val="double" w:sz="4" w:space="0" w:color="auto"/>
            </w:tcBorders>
            <w:shd w:val="clear" w:color="auto" w:fill="auto"/>
            <w:noWrap/>
          </w:tcPr>
          <w:p w14:paraId="7D7A13F0"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1755</w:t>
            </w:r>
          </w:p>
        </w:tc>
      </w:tr>
      <w:tr w:rsidR="00046E1E" w:rsidRPr="005E3A54" w14:paraId="25FAAE39" w14:textId="77777777" w:rsidTr="000C0C92">
        <w:trPr>
          <w:trHeight w:val="216"/>
        </w:trPr>
        <w:tc>
          <w:tcPr>
            <w:tcW w:w="2561" w:type="pct"/>
            <w:tcBorders>
              <w:left w:val="double" w:sz="4" w:space="0" w:color="auto"/>
            </w:tcBorders>
            <w:shd w:val="clear" w:color="auto" w:fill="auto"/>
            <w:noWrap/>
            <w:hideMark/>
          </w:tcPr>
          <w:p w14:paraId="10EE4568"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Hispanic percentage</w:t>
            </w:r>
          </w:p>
        </w:tc>
        <w:tc>
          <w:tcPr>
            <w:tcW w:w="614" w:type="pct"/>
            <w:shd w:val="clear" w:color="auto" w:fill="auto"/>
            <w:noWrap/>
            <w:vAlign w:val="center"/>
            <w:hideMark/>
          </w:tcPr>
          <w:p w14:paraId="1FE96FEA"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59772246"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10.015</w:t>
            </w:r>
          </w:p>
        </w:tc>
        <w:tc>
          <w:tcPr>
            <w:tcW w:w="857" w:type="pct"/>
            <w:shd w:val="clear" w:color="auto" w:fill="auto"/>
            <w:noWrap/>
            <w:vAlign w:val="center"/>
          </w:tcPr>
          <w:p w14:paraId="4A6AAF18"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0.653/96.322</w:t>
            </w:r>
          </w:p>
        </w:tc>
        <w:tc>
          <w:tcPr>
            <w:tcW w:w="499" w:type="pct"/>
            <w:tcBorders>
              <w:right w:val="double" w:sz="4" w:space="0" w:color="auto"/>
            </w:tcBorders>
            <w:shd w:val="clear" w:color="auto" w:fill="auto"/>
            <w:noWrap/>
          </w:tcPr>
          <w:p w14:paraId="79CC197C" w14:textId="77777777" w:rsidR="00046E1E" w:rsidRPr="005E3A54" w:rsidRDefault="00046E1E" w:rsidP="00EB5197">
            <w:pPr>
              <w:jc w:val="left"/>
              <w:rPr>
                <w:rFonts w:eastAsia="Times New Roman" w:cs="Times New Roman"/>
                <w:color w:val="000000"/>
                <w:sz w:val="22"/>
              </w:rPr>
            </w:pPr>
            <w:r w:rsidRPr="00BD2C54">
              <w:rPr>
                <w:rFonts w:eastAsia="Times New Roman" w:cs="Times New Roman"/>
                <w:color w:val="000000"/>
                <w:sz w:val="22"/>
              </w:rPr>
              <w:t>1755</w:t>
            </w:r>
          </w:p>
        </w:tc>
      </w:tr>
      <w:tr w:rsidR="00046E1E" w:rsidRPr="005E3A54" w14:paraId="7A2D70AE" w14:textId="77777777" w:rsidTr="000C0C92">
        <w:trPr>
          <w:trHeight w:val="216"/>
        </w:trPr>
        <w:tc>
          <w:tcPr>
            <w:tcW w:w="2561" w:type="pct"/>
            <w:tcBorders>
              <w:left w:val="double" w:sz="4" w:space="0" w:color="auto"/>
            </w:tcBorders>
            <w:shd w:val="clear" w:color="auto" w:fill="auto"/>
            <w:noWrap/>
            <w:hideMark/>
          </w:tcPr>
          <w:p w14:paraId="1CFA8412"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African American percentage</w:t>
            </w:r>
          </w:p>
        </w:tc>
        <w:tc>
          <w:tcPr>
            <w:tcW w:w="614" w:type="pct"/>
            <w:shd w:val="clear" w:color="auto" w:fill="auto"/>
            <w:noWrap/>
            <w:vAlign w:val="center"/>
            <w:hideMark/>
          </w:tcPr>
          <w:p w14:paraId="51A96554"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6AA12998"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9.720</w:t>
            </w:r>
          </w:p>
        </w:tc>
        <w:tc>
          <w:tcPr>
            <w:tcW w:w="857" w:type="pct"/>
            <w:shd w:val="clear" w:color="auto" w:fill="auto"/>
            <w:noWrap/>
            <w:vAlign w:val="center"/>
          </w:tcPr>
          <w:p w14:paraId="43C5A381"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0.113/76.331</w:t>
            </w:r>
          </w:p>
        </w:tc>
        <w:tc>
          <w:tcPr>
            <w:tcW w:w="499" w:type="pct"/>
            <w:tcBorders>
              <w:right w:val="double" w:sz="4" w:space="0" w:color="auto"/>
            </w:tcBorders>
            <w:shd w:val="clear" w:color="auto" w:fill="auto"/>
            <w:noWrap/>
          </w:tcPr>
          <w:p w14:paraId="101E6C4D" w14:textId="77777777" w:rsidR="00046E1E" w:rsidRPr="005E3A54" w:rsidRDefault="00046E1E" w:rsidP="00EB5197">
            <w:pPr>
              <w:jc w:val="left"/>
              <w:rPr>
                <w:rFonts w:eastAsia="Times New Roman" w:cs="Times New Roman"/>
                <w:color w:val="000000"/>
                <w:sz w:val="22"/>
              </w:rPr>
            </w:pPr>
            <w:r w:rsidRPr="00BD2C54">
              <w:rPr>
                <w:rFonts w:eastAsia="Times New Roman" w:cs="Times New Roman"/>
                <w:color w:val="000000"/>
                <w:sz w:val="22"/>
              </w:rPr>
              <w:t>1755</w:t>
            </w:r>
          </w:p>
        </w:tc>
      </w:tr>
      <w:tr w:rsidR="00046E1E" w:rsidRPr="005E3A54" w14:paraId="0FD559C7" w14:textId="77777777" w:rsidTr="000C0C92">
        <w:trPr>
          <w:trHeight w:val="216"/>
        </w:trPr>
        <w:tc>
          <w:tcPr>
            <w:tcW w:w="2561" w:type="pct"/>
            <w:tcBorders>
              <w:left w:val="double" w:sz="4" w:space="0" w:color="auto"/>
            </w:tcBorders>
            <w:shd w:val="clear" w:color="auto" w:fill="auto"/>
            <w:noWrap/>
            <w:hideMark/>
          </w:tcPr>
          <w:p w14:paraId="3C48B195"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Female percentage</w:t>
            </w:r>
          </w:p>
        </w:tc>
        <w:tc>
          <w:tcPr>
            <w:tcW w:w="614" w:type="pct"/>
            <w:shd w:val="clear" w:color="auto" w:fill="auto"/>
            <w:noWrap/>
            <w:vAlign w:val="center"/>
            <w:hideMark/>
          </w:tcPr>
          <w:p w14:paraId="4BD16A09"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ACS</w:t>
            </w:r>
          </w:p>
        </w:tc>
        <w:tc>
          <w:tcPr>
            <w:tcW w:w="469" w:type="pct"/>
            <w:shd w:val="clear" w:color="auto" w:fill="auto"/>
            <w:noWrap/>
            <w:vAlign w:val="center"/>
          </w:tcPr>
          <w:p w14:paraId="3BDDAAF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50.348</w:t>
            </w:r>
          </w:p>
        </w:tc>
        <w:tc>
          <w:tcPr>
            <w:tcW w:w="857" w:type="pct"/>
            <w:shd w:val="clear" w:color="auto" w:fill="auto"/>
            <w:noWrap/>
            <w:vAlign w:val="center"/>
          </w:tcPr>
          <w:p w14:paraId="41F5B64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37.041/56.145</w:t>
            </w:r>
          </w:p>
        </w:tc>
        <w:tc>
          <w:tcPr>
            <w:tcW w:w="499" w:type="pct"/>
            <w:tcBorders>
              <w:right w:val="double" w:sz="4" w:space="0" w:color="auto"/>
            </w:tcBorders>
            <w:shd w:val="clear" w:color="auto" w:fill="auto"/>
            <w:noWrap/>
          </w:tcPr>
          <w:p w14:paraId="0A5F949F" w14:textId="77777777" w:rsidR="00046E1E" w:rsidRPr="005E3A54" w:rsidRDefault="00046E1E" w:rsidP="00EB5197">
            <w:pPr>
              <w:jc w:val="left"/>
              <w:rPr>
                <w:rFonts w:eastAsia="Times New Roman" w:cs="Times New Roman"/>
                <w:color w:val="000000"/>
                <w:sz w:val="22"/>
              </w:rPr>
            </w:pPr>
            <w:r w:rsidRPr="00BD2C54">
              <w:rPr>
                <w:rFonts w:eastAsia="Times New Roman" w:cs="Times New Roman"/>
                <w:color w:val="000000"/>
                <w:sz w:val="22"/>
              </w:rPr>
              <w:t>1755</w:t>
            </w:r>
          </w:p>
        </w:tc>
      </w:tr>
      <w:tr w:rsidR="00046E1E" w:rsidRPr="005E3A54" w14:paraId="7D338F2A" w14:textId="77777777" w:rsidTr="000C0C92">
        <w:trPr>
          <w:trHeight w:val="216"/>
        </w:trPr>
        <w:tc>
          <w:tcPr>
            <w:tcW w:w="2561" w:type="pct"/>
            <w:tcBorders>
              <w:left w:val="double" w:sz="4" w:space="0" w:color="auto"/>
            </w:tcBorders>
            <w:shd w:val="clear" w:color="auto" w:fill="auto"/>
            <w:noWrap/>
          </w:tcPr>
          <w:p w14:paraId="06E1DBBF" w14:textId="394CF671" w:rsidR="00046E1E" w:rsidRPr="00736802" w:rsidRDefault="00046E1E" w:rsidP="00EB5197">
            <w:pPr>
              <w:jc w:val="left"/>
              <w:rPr>
                <w:rFonts w:eastAsia="Times New Roman" w:cs="Times New Roman"/>
                <w:color w:val="000000"/>
                <w:sz w:val="22"/>
              </w:rPr>
            </w:pPr>
            <w:r w:rsidRPr="00736802">
              <w:rPr>
                <w:rFonts w:eastAsia="Times New Roman" w:cs="Times New Roman"/>
                <w:color w:val="000000"/>
                <w:sz w:val="22"/>
              </w:rPr>
              <w:t xml:space="preserve">Employment Rate per 100K </w:t>
            </w:r>
            <w:r w:rsidR="00474D5B">
              <w:rPr>
                <w:rFonts w:eastAsia="Times New Roman" w:cs="Times New Roman"/>
                <w:color w:val="000000"/>
                <w:sz w:val="22"/>
              </w:rPr>
              <w:t>population</w:t>
            </w:r>
          </w:p>
        </w:tc>
        <w:tc>
          <w:tcPr>
            <w:tcW w:w="614" w:type="pct"/>
            <w:shd w:val="clear" w:color="auto" w:fill="auto"/>
            <w:noWrap/>
            <w:vAlign w:val="center"/>
          </w:tcPr>
          <w:p w14:paraId="21B7E78F" w14:textId="77777777" w:rsidR="00046E1E" w:rsidRPr="00736802" w:rsidRDefault="00046E1E" w:rsidP="00EB5197">
            <w:pPr>
              <w:jc w:val="left"/>
              <w:rPr>
                <w:rFonts w:eastAsia="Times New Roman" w:cs="Times New Roman"/>
                <w:color w:val="000000"/>
                <w:sz w:val="22"/>
              </w:rPr>
            </w:pPr>
            <w:r w:rsidRPr="00736802">
              <w:rPr>
                <w:rFonts w:eastAsia="Times New Roman" w:cs="Times New Roman"/>
                <w:color w:val="000000"/>
                <w:sz w:val="22"/>
              </w:rPr>
              <w:t>ACS</w:t>
            </w:r>
          </w:p>
        </w:tc>
        <w:tc>
          <w:tcPr>
            <w:tcW w:w="469" w:type="pct"/>
            <w:shd w:val="clear" w:color="auto" w:fill="auto"/>
            <w:noWrap/>
            <w:vAlign w:val="center"/>
          </w:tcPr>
          <w:p w14:paraId="273B2321" w14:textId="77777777" w:rsidR="00046E1E" w:rsidRPr="00736802" w:rsidRDefault="00046E1E" w:rsidP="00EB5197">
            <w:pPr>
              <w:jc w:val="left"/>
              <w:rPr>
                <w:rFonts w:eastAsia="Times New Roman" w:cs="Times New Roman"/>
                <w:color w:val="000000"/>
                <w:sz w:val="22"/>
              </w:rPr>
            </w:pPr>
            <w:r w:rsidRPr="00736802">
              <w:rPr>
                <w:rFonts w:eastAsia="Times New Roman" w:cs="Times New Roman"/>
                <w:color w:val="000000"/>
                <w:sz w:val="22"/>
              </w:rPr>
              <w:t>10.689</w:t>
            </w:r>
          </w:p>
        </w:tc>
        <w:tc>
          <w:tcPr>
            <w:tcW w:w="857" w:type="pct"/>
            <w:shd w:val="clear" w:color="auto" w:fill="auto"/>
            <w:noWrap/>
            <w:vAlign w:val="center"/>
          </w:tcPr>
          <w:p w14:paraId="22BF7C16" w14:textId="77777777" w:rsidR="00046E1E" w:rsidRPr="00736802" w:rsidRDefault="00046E1E" w:rsidP="00EB5197">
            <w:pPr>
              <w:jc w:val="left"/>
              <w:rPr>
                <w:rFonts w:eastAsia="Times New Roman" w:cs="Times New Roman"/>
                <w:color w:val="000000"/>
                <w:sz w:val="22"/>
              </w:rPr>
            </w:pPr>
            <w:r w:rsidRPr="00736802">
              <w:rPr>
                <w:rFonts w:eastAsia="Times New Roman" w:cs="Times New Roman"/>
                <w:color w:val="000000"/>
                <w:sz w:val="22"/>
              </w:rPr>
              <w:t>9.878/11.061</w:t>
            </w:r>
          </w:p>
        </w:tc>
        <w:tc>
          <w:tcPr>
            <w:tcW w:w="499" w:type="pct"/>
            <w:tcBorders>
              <w:right w:val="double" w:sz="4" w:space="0" w:color="auto"/>
            </w:tcBorders>
            <w:shd w:val="clear" w:color="auto" w:fill="auto"/>
            <w:noWrap/>
          </w:tcPr>
          <w:p w14:paraId="27081C54" w14:textId="77777777" w:rsidR="00046E1E" w:rsidRPr="00736802" w:rsidRDefault="00046E1E" w:rsidP="00EB5197">
            <w:pPr>
              <w:jc w:val="left"/>
              <w:rPr>
                <w:rFonts w:eastAsia="Times New Roman" w:cs="Times New Roman"/>
                <w:color w:val="000000"/>
                <w:sz w:val="22"/>
              </w:rPr>
            </w:pPr>
            <w:r w:rsidRPr="00736802">
              <w:rPr>
                <w:rFonts w:eastAsia="Times New Roman" w:cs="Times New Roman"/>
                <w:color w:val="000000"/>
                <w:sz w:val="22"/>
              </w:rPr>
              <w:t>1755</w:t>
            </w:r>
          </w:p>
        </w:tc>
      </w:tr>
      <w:tr w:rsidR="00046E1E" w:rsidRPr="005E3A54" w14:paraId="032EB08F" w14:textId="77777777" w:rsidTr="000C0C92">
        <w:trPr>
          <w:trHeight w:val="216"/>
        </w:trPr>
        <w:tc>
          <w:tcPr>
            <w:tcW w:w="2561" w:type="pct"/>
            <w:tcBorders>
              <w:left w:val="double" w:sz="4" w:space="0" w:color="auto"/>
              <w:bottom w:val="double" w:sz="4" w:space="0" w:color="auto"/>
            </w:tcBorders>
            <w:shd w:val="clear" w:color="auto" w:fill="auto"/>
            <w:noWrap/>
            <w:vAlign w:val="center"/>
          </w:tcPr>
          <w:p w14:paraId="3E08377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Income inequality ratio (80</w:t>
            </w:r>
            <w:r w:rsidRPr="0079076F">
              <w:rPr>
                <w:rFonts w:eastAsia="Times New Roman" w:cs="Times New Roman"/>
                <w:color w:val="000000"/>
                <w:sz w:val="22"/>
              </w:rPr>
              <w:t>th</w:t>
            </w:r>
            <w:r w:rsidRPr="005E3A54">
              <w:rPr>
                <w:rFonts w:eastAsia="Times New Roman" w:cs="Times New Roman"/>
                <w:color w:val="000000"/>
                <w:sz w:val="22"/>
              </w:rPr>
              <w:t xml:space="preserve"> /20</w:t>
            </w:r>
            <w:r w:rsidRPr="0079076F">
              <w:rPr>
                <w:rFonts w:eastAsia="Times New Roman" w:cs="Times New Roman"/>
                <w:color w:val="000000"/>
                <w:sz w:val="22"/>
              </w:rPr>
              <w:t>th</w:t>
            </w:r>
            <w:r w:rsidRPr="005E3A54">
              <w:rPr>
                <w:rFonts w:eastAsia="Times New Roman" w:cs="Times New Roman"/>
                <w:color w:val="000000"/>
                <w:sz w:val="22"/>
              </w:rPr>
              <w:t xml:space="preserve"> percentile)</w:t>
            </w:r>
          </w:p>
        </w:tc>
        <w:tc>
          <w:tcPr>
            <w:tcW w:w="614" w:type="pct"/>
            <w:tcBorders>
              <w:bottom w:val="double" w:sz="4" w:space="0" w:color="auto"/>
            </w:tcBorders>
            <w:shd w:val="clear" w:color="auto" w:fill="auto"/>
            <w:noWrap/>
            <w:vAlign w:val="center"/>
          </w:tcPr>
          <w:p w14:paraId="5C45B2B7" w14:textId="77777777" w:rsidR="00046E1E" w:rsidRPr="005E3A54" w:rsidRDefault="00046E1E" w:rsidP="00EB5197">
            <w:pPr>
              <w:jc w:val="left"/>
              <w:rPr>
                <w:rFonts w:eastAsia="Times New Roman" w:cs="Times New Roman"/>
                <w:color w:val="000000"/>
                <w:sz w:val="22"/>
              </w:rPr>
            </w:pPr>
            <w:proofErr w:type="spellStart"/>
            <w:r w:rsidRPr="005E3A54">
              <w:rPr>
                <w:rFonts w:eastAsia="Times New Roman" w:cs="Times New Roman"/>
                <w:color w:val="000000"/>
                <w:sz w:val="22"/>
              </w:rPr>
              <w:t>CHRR</w:t>
            </w:r>
            <w:r>
              <w:rPr>
                <w:rFonts w:eastAsia="Times New Roman" w:cs="Times New Roman"/>
                <w:color w:val="000000"/>
                <w:sz w:val="22"/>
                <w:vertAlign w:val="superscript"/>
              </w:rPr>
              <w:t>d</w:t>
            </w:r>
            <w:proofErr w:type="spellEnd"/>
          </w:p>
        </w:tc>
        <w:tc>
          <w:tcPr>
            <w:tcW w:w="469" w:type="pct"/>
            <w:tcBorders>
              <w:bottom w:val="double" w:sz="4" w:space="0" w:color="auto"/>
            </w:tcBorders>
            <w:shd w:val="clear" w:color="auto" w:fill="auto"/>
            <w:noWrap/>
            <w:vAlign w:val="center"/>
          </w:tcPr>
          <w:p w14:paraId="78E5FD6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4.540</w:t>
            </w:r>
          </w:p>
        </w:tc>
        <w:tc>
          <w:tcPr>
            <w:tcW w:w="857" w:type="pct"/>
            <w:tcBorders>
              <w:bottom w:val="double" w:sz="4" w:space="0" w:color="auto"/>
            </w:tcBorders>
            <w:shd w:val="clear" w:color="auto" w:fill="auto"/>
            <w:noWrap/>
            <w:vAlign w:val="center"/>
          </w:tcPr>
          <w:p w14:paraId="2A3854D5"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2.987/9.148</w:t>
            </w:r>
          </w:p>
        </w:tc>
        <w:tc>
          <w:tcPr>
            <w:tcW w:w="499" w:type="pct"/>
            <w:tcBorders>
              <w:bottom w:val="double" w:sz="4" w:space="0" w:color="auto"/>
              <w:right w:val="double" w:sz="4" w:space="0" w:color="auto"/>
            </w:tcBorders>
            <w:shd w:val="clear" w:color="auto" w:fill="auto"/>
            <w:noWrap/>
          </w:tcPr>
          <w:p w14:paraId="4E1B2A32" w14:textId="77777777" w:rsidR="00046E1E" w:rsidRPr="005E3A54" w:rsidRDefault="00046E1E" w:rsidP="00EB5197">
            <w:pPr>
              <w:jc w:val="left"/>
              <w:rPr>
                <w:rFonts w:eastAsia="Times New Roman" w:cs="Times New Roman"/>
                <w:color w:val="000000"/>
                <w:sz w:val="22"/>
              </w:rPr>
            </w:pPr>
            <w:r w:rsidRPr="00BD2C54">
              <w:rPr>
                <w:rFonts w:eastAsia="Times New Roman" w:cs="Times New Roman"/>
                <w:color w:val="000000"/>
                <w:sz w:val="22"/>
              </w:rPr>
              <w:t>1755</w:t>
            </w:r>
          </w:p>
        </w:tc>
      </w:tr>
      <w:tr w:rsidR="00046E1E" w:rsidRPr="005E3A54" w14:paraId="51A7B5C0" w14:textId="77777777" w:rsidTr="000C0C92">
        <w:trPr>
          <w:trHeight w:val="216"/>
        </w:trPr>
        <w:tc>
          <w:tcPr>
            <w:tcW w:w="5000" w:type="pct"/>
            <w:gridSpan w:val="5"/>
            <w:tcBorders>
              <w:top w:val="double" w:sz="4" w:space="0" w:color="auto"/>
              <w:left w:val="double" w:sz="4" w:space="0" w:color="auto"/>
              <w:right w:val="double" w:sz="4" w:space="0" w:color="auto"/>
            </w:tcBorders>
            <w:shd w:val="clear" w:color="auto" w:fill="auto"/>
            <w:noWrap/>
            <w:vAlign w:val="center"/>
            <w:hideMark/>
          </w:tcPr>
          <w:p w14:paraId="3138231C" w14:textId="77777777" w:rsidR="00046E1E" w:rsidRPr="00524E60" w:rsidRDefault="00046E1E" w:rsidP="00EB5197">
            <w:pPr>
              <w:jc w:val="left"/>
              <w:rPr>
                <w:rFonts w:eastAsia="Times New Roman" w:cs="Times New Roman"/>
                <w:i/>
                <w:iCs/>
                <w:color w:val="000000"/>
                <w:sz w:val="22"/>
              </w:rPr>
            </w:pPr>
            <w:r w:rsidRPr="00524E60">
              <w:rPr>
                <w:rFonts w:eastAsia="Times New Roman" w:cs="Times New Roman"/>
                <w:i/>
                <w:iCs/>
                <w:color w:val="000000"/>
                <w:sz w:val="22"/>
              </w:rPr>
              <w:t>Health Indicators</w:t>
            </w:r>
          </w:p>
        </w:tc>
      </w:tr>
      <w:tr w:rsidR="00046E1E" w:rsidRPr="005E3A54" w14:paraId="617FE47A" w14:textId="77777777" w:rsidTr="000C0C92">
        <w:trPr>
          <w:trHeight w:val="216"/>
        </w:trPr>
        <w:tc>
          <w:tcPr>
            <w:tcW w:w="2561" w:type="pct"/>
            <w:tcBorders>
              <w:left w:val="double" w:sz="4" w:space="0" w:color="auto"/>
            </w:tcBorders>
            <w:shd w:val="clear" w:color="auto" w:fill="auto"/>
            <w:noWrap/>
            <w:vAlign w:val="center"/>
          </w:tcPr>
          <w:p w14:paraId="29F469A8"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Asthma % for &gt;= 18 years</w:t>
            </w:r>
          </w:p>
        </w:tc>
        <w:tc>
          <w:tcPr>
            <w:tcW w:w="614" w:type="pct"/>
            <w:shd w:val="clear" w:color="auto" w:fill="auto"/>
            <w:noWrap/>
            <w:vAlign w:val="center"/>
          </w:tcPr>
          <w:p w14:paraId="208622E2"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CDC</w:t>
            </w:r>
          </w:p>
        </w:tc>
        <w:tc>
          <w:tcPr>
            <w:tcW w:w="469" w:type="pct"/>
            <w:shd w:val="clear" w:color="auto" w:fill="auto"/>
            <w:noWrap/>
            <w:vAlign w:val="center"/>
          </w:tcPr>
          <w:p w14:paraId="54F4EB34"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9.417</w:t>
            </w:r>
          </w:p>
        </w:tc>
        <w:tc>
          <w:tcPr>
            <w:tcW w:w="857" w:type="pct"/>
            <w:shd w:val="clear" w:color="auto" w:fill="auto"/>
            <w:noWrap/>
            <w:vAlign w:val="center"/>
          </w:tcPr>
          <w:p w14:paraId="52EFFF15"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7.400/12.300</w:t>
            </w:r>
          </w:p>
        </w:tc>
        <w:tc>
          <w:tcPr>
            <w:tcW w:w="499" w:type="pct"/>
            <w:tcBorders>
              <w:right w:val="double" w:sz="4" w:space="0" w:color="auto"/>
            </w:tcBorders>
            <w:shd w:val="clear" w:color="auto" w:fill="auto"/>
            <w:noWrap/>
          </w:tcPr>
          <w:p w14:paraId="5C19B69F" w14:textId="77777777" w:rsidR="00046E1E" w:rsidRPr="005E3A54" w:rsidRDefault="00046E1E" w:rsidP="00EB5197">
            <w:pPr>
              <w:jc w:val="left"/>
              <w:rPr>
                <w:rFonts w:eastAsia="Times New Roman" w:cs="Times New Roman"/>
                <w:color w:val="000000"/>
                <w:sz w:val="22"/>
              </w:rPr>
            </w:pPr>
            <w:r w:rsidRPr="00577C02">
              <w:rPr>
                <w:rFonts w:eastAsia="Times New Roman" w:cs="Times New Roman"/>
                <w:color w:val="000000"/>
                <w:sz w:val="22"/>
              </w:rPr>
              <w:t>1755</w:t>
            </w:r>
          </w:p>
        </w:tc>
      </w:tr>
      <w:tr w:rsidR="00046E1E" w:rsidRPr="005E3A54" w14:paraId="63173A12" w14:textId="77777777" w:rsidTr="000C0C92">
        <w:trPr>
          <w:trHeight w:val="216"/>
        </w:trPr>
        <w:tc>
          <w:tcPr>
            <w:tcW w:w="2561" w:type="pct"/>
            <w:tcBorders>
              <w:left w:val="double" w:sz="4" w:space="0" w:color="auto"/>
            </w:tcBorders>
            <w:shd w:val="clear" w:color="auto" w:fill="auto"/>
            <w:noWrap/>
          </w:tcPr>
          <w:p w14:paraId="026CF9AF"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Ln (number of cardiovascular patients per 1000 Medicare beneficiaries)</w:t>
            </w:r>
          </w:p>
        </w:tc>
        <w:tc>
          <w:tcPr>
            <w:tcW w:w="614" w:type="pct"/>
            <w:shd w:val="clear" w:color="auto" w:fill="auto"/>
            <w:noWrap/>
            <w:vAlign w:val="center"/>
          </w:tcPr>
          <w:p w14:paraId="29B36E7D"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CHRR</w:t>
            </w:r>
          </w:p>
        </w:tc>
        <w:tc>
          <w:tcPr>
            <w:tcW w:w="469" w:type="pct"/>
            <w:shd w:val="clear" w:color="auto" w:fill="auto"/>
            <w:noWrap/>
            <w:vAlign w:val="center"/>
          </w:tcPr>
          <w:p w14:paraId="63A288ED"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4.119</w:t>
            </w:r>
          </w:p>
        </w:tc>
        <w:tc>
          <w:tcPr>
            <w:tcW w:w="857" w:type="pct"/>
            <w:shd w:val="clear" w:color="auto" w:fill="auto"/>
            <w:noWrap/>
            <w:vAlign w:val="center"/>
          </w:tcPr>
          <w:p w14:paraId="6D6BE2E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3.157/4.891</w:t>
            </w:r>
          </w:p>
        </w:tc>
        <w:tc>
          <w:tcPr>
            <w:tcW w:w="499" w:type="pct"/>
            <w:tcBorders>
              <w:right w:val="double" w:sz="4" w:space="0" w:color="auto"/>
            </w:tcBorders>
            <w:shd w:val="clear" w:color="auto" w:fill="auto"/>
            <w:noWrap/>
          </w:tcPr>
          <w:p w14:paraId="5EEDC7CF" w14:textId="77777777" w:rsidR="00046E1E" w:rsidRPr="005E3A54" w:rsidRDefault="00046E1E" w:rsidP="00EB5197">
            <w:pPr>
              <w:jc w:val="left"/>
              <w:rPr>
                <w:rFonts w:eastAsia="Times New Roman" w:cs="Times New Roman"/>
                <w:color w:val="000000"/>
                <w:sz w:val="22"/>
              </w:rPr>
            </w:pPr>
            <w:r w:rsidRPr="00577C02">
              <w:rPr>
                <w:rFonts w:eastAsia="Times New Roman" w:cs="Times New Roman"/>
                <w:color w:val="000000"/>
                <w:sz w:val="22"/>
              </w:rPr>
              <w:t>1755</w:t>
            </w:r>
          </w:p>
        </w:tc>
      </w:tr>
      <w:tr w:rsidR="00046E1E" w:rsidRPr="005E3A54" w14:paraId="3A55B80F" w14:textId="77777777" w:rsidTr="000C0C92">
        <w:trPr>
          <w:trHeight w:val="216"/>
        </w:trPr>
        <w:tc>
          <w:tcPr>
            <w:tcW w:w="2561" w:type="pct"/>
            <w:tcBorders>
              <w:left w:val="double" w:sz="4" w:space="0" w:color="auto"/>
            </w:tcBorders>
            <w:shd w:val="clear" w:color="auto" w:fill="auto"/>
            <w:noWrap/>
          </w:tcPr>
          <w:p w14:paraId="0D1BB7A2" w14:textId="58971B80"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 xml:space="preserve">Hepatitis C Cases per 100K </w:t>
            </w:r>
            <w:r w:rsidR="00474D5B">
              <w:rPr>
                <w:rFonts w:eastAsia="Times New Roman" w:cs="Times New Roman"/>
                <w:color w:val="000000"/>
                <w:sz w:val="22"/>
              </w:rPr>
              <w:t>population</w:t>
            </w:r>
          </w:p>
        </w:tc>
        <w:tc>
          <w:tcPr>
            <w:tcW w:w="614" w:type="pct"/>
            <w:shd w:val="clear" w:color="auto" w:fill="auto"/>
            <w:noWrap/>
            <w:vAlign w:val="center"/>
          </w:tcPr>
          <w:p w14:paraId="7B607553" w14:textId="77777777" w:rsidR="00046E1E" w:rsidRPr="005E3A54" w:rsidRDefault="00046E1E" w:rsidP="00EB5197">
            <w:pPr>
              <w:jc w:val="left"/>
              <w:rPr>
                <w:rFonts w:eastAsia="Times New Roman" w:cs="Times New Roman"/>
                <w:color w:val="000000"/>
                <w:sz w:val="22"/>
              </w:rPr>
            </w:pPr>
            <w:proofErr w:type="spellStart"/>
            <w:r w:rsidRPr="005E3A54">
              <w:rPr>
                <w:rFonts w:eastAsia="Times New Roman" w:cs="Times New Roman"/>
                <w:color w:val="000000"/>
                <w:sz w:val="22"/>
              </w:rPr>
              <w:t>CDC</w:t>
            </w:r>
            <w:r>
              <w:rPr>
                <w:rFonts w:eastAsia="Times New Roman" w:cs="Times New Roman"/>
                <w:color w:val="000000"/>
                <w:sz w:val="22"/>
                <w:vertAlign w:val="superscript"/>
              </w:rPr>
              <w:t>e</w:t>
            </w:r>
            <w:proofErr w:type="spellEnd"/>
          </w:p>
        </w:tc>
        <w:tc>
          <w:tcPr>
            <w:tcW w:w="469" w:type="pct"/>
            <w:shd w:val="clear" w:color="auto" w:fill="auto"/>
            <w:noWrap/>
            <w:vAlign w:val="center"/>
          </w:tcPr>
          <w:p w14:paraId="3E81E930"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1.064</w:t>
            </w:r>
          </w:p>
        </w:tc>
        <w:tc>
          <w:tcPr>
            <w:tcW w:w="857" w:type="pct"/>
            <w:shd w:val="clear" w:color="auto" w:fill="auto"/>
            <w:noWrap/>
            <w:vAlign w:val="center"/>
          </w:tcPr>
          <w:p w14:paraId="18DBAFFB"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0.000/5.600</w:t>
            </w:r>
          </w:p>
        </w:tc>
        <w:tc>
          <w:tcPr>
            <w:tcW w:w="499" w:type="pct"/>
            <w:tcBorders>
              <w:right w:val="double" w:sz="4" w:space="0" w:color="auto"/>
            </w:tcBorders>
            <w:shd w:val="clear" w:color="auto" w:fill="auto"/>
            <w:noWrap/>
          </w:tcPr>
          <w:p w14:paraId="3EFAE5FC" w14:textId="77777777" w:rsidR="00046E1E" w:rsidRPr="005E3A54" w:rsidRDefault="00046E1E" w:rsidP="00EB5197">
            <w:pPr>
              <w:jc w:val="left"/>
              <w:rPr>
                <w:rFonts w:eastAsia="Times New Roman" w:cs="Times New Roman"/>
                <w:color w:val="000000"/>
                <w:sz w:val="22"/>
              </w:rPr>
            </w:pPr>
            <w:r w:rsidRPr="00577C02">
              <w:rPr>
                <w:rFonts w:eastAsia="Times New Roman" w:cs="Times New Roman"/>
                <w:color w:val="000000"/>
                <w:sz w:val="22"/>
              </w:rPr>
              <w:t>1755</w:t>
            </w:r>
          </w:p>
        </w:tc>
      </w:tr>
      <w:tr w:rsidR="00046E1E" w:rsidRPr="005E3A54" w14:paraId="6D2ED1C1" w14:textId="77777777" w:rsidTr="000C0C92">
        <w:trPr>
          <w:trHeight w:val="216"/>
        </w:trPr>
        <w:tc>
          <w:tcPr>
            <w:tcW w:w="2561" w:type="pct"/>
            <w:tcBorders>
              <w:left w:val="double" w:sz="4" w:space="0" w:color="auto"/>
            </w:tcBorders>
            <w:shd w:val="clear" w:color="auto" w:fill="auto"/>
            <w:noWrap/>
          </w:tcPr>
          <w:p w14:paraId="0582E42E" w14:textId="3806DE29"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 xml:space="preserve">Ln (HIV rate per 100K </w:t>
            </w:r>
            <w:r w:rsidR="00474D5B">
              <w:rPr>
                <w:rFonts w:eastAsia="Times New Roman" w:cs="Times New Roman"/>
                <w:color w:val="000000"/>
                <w:sz w:val="22"/>
              </w:rPr>
              <w:t>population</w:t>
            </w:r>
            <w:r w:rsidRPr="005E3A54">
              <w:rPr>
                <w:rFonts w:eastAsia="Times New Roman" w:cs="Times New Roman"/>
                <w:color w:val="000000"/>
                <w:sz w:val="22"/>
              </w:rPr>
              <w:t>)</w:t>
            </w:r>
          </w:p>
        </w:tc>
        <w:tc>
          <w:tcPr>
            <w:tcW w:w="614" w:type="pct"/>
            <w:shd w:val="clear" w:color="auto" w:fill="auto"/>
            <w:noWrap/>
            <w:vAlign w:val="center"/>
          </w:tcPr>
          <w:p w14:paraId="09786C31"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CDC</w:t>
            </w:r>
          </w:p>
        </w:tc>
        <w:tc>
          <w:tcPr>
            <w:tcW w:w="469" w:type="pct"/>
            <w:shd w:val="clear" w:color="auto" w:fill="auto"/>
            <w:noWrap/>
            <w:vAlign w:val="center"/>
          </w:tcPr>
          <w:p w14:paraId="6BDB3F1B"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4.780</w:t>
            </w:r>
          </w:p>
        </w:tc>
        <w:tc>
          <w:tcPr>
            <w:tcW w:w="857" w:type="pct"/>
            <w:shd w:val="clear" w:color="auto" w:fill="auto"/>
            <w:noWrap/>
            <w:vAlign w:val="center"/>
          </w:tcPr>
          <w:p w14:paraId="5510EE8F"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0.723/7.859</w:t>
            </w:r>
          </w:p>
        </w:tc>
        <w:tc>
          <w:tcPr>
            <w:tcW w:w="499" w:type="pct"/>
            <w:tcBorders>
              <w:right w:val="double" w:sz="4" w:space="0" w:color="auto"/>
            </w:tcBorders>
            <w:shd w:val="clear" w:color="auto" w:fill="auto"/>
            <w:noWrap/>
          </w:tcPr>
          <w:p w14:paraId="059CD89E" w14:textId="77777777" w:rsidR="00046E1E" w:rsidRPr="005E3A54" w:rsidRDefault="00046E1E" w:rsidP="00EB5197">
            <w:pPr>
              <w:jc w:val="left"/>
              <w:rPr>
                <w:rFonts w:eastAsia="Times New Roman" w:cs="Times New Roman"/>
                <w:color w:val="000000"/>
                <w:sz w:val="22"/>
              </w:rPr>
            </w:pPr>
            <w:r w:rsidRPr="00577C02">
              <w:rPr>
                <w:rFonts w:eastAsia="Times New Roman" w:cs="Times New Roman"/>
                <w:color w:val="000000"/>
                <w:sz w:val="22"/>
              </w:rPr>
              <w:t>1755</w:t>
            </w:r>
          </w:p>
        </w:tc>
      </w:tr>
      <w:tr w:rsidR="00046E1E" w:rsidRPr="005E3A54" w14:paraId="6BE9BED0" w14:textId="77777777" w:rsidTr="000C0C92">
        <w:trPr>
          <w:trHeight w:val="216"/>
        </w:trPr>
        <w:tc>
          <w:tcPr>
            <w:tcW w:w="2561" w:type="pct"/>
            <w:tcBorders>
              <w:left w:val="double" w:sz="4" w:space="0" w:color="auto"/>
            </w:tcBorders>
            <w:shd w:val="clear" w:color="auto" w:fill="auto"/>
            <w:noWrap/>
            <w:hideMark/>
          </w:tcPr>
          <w:p w14:paraId="3831C755" w14:textId="7A858A81"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 xml:space="preserve">Ln (cancer rate per 100K </w:t>
            </w:r>
            <w:r w:rsidR="00474D5B">
              <w:rPr>
                <w:rFonts w:eastAsia="Times New Roman" w:cs="Times New Roman"/>
                <w:color w:val="000000"/>
                <w:sz w:val="22"/>
              </w:rPr>
              <w:t>population</w:t>
            </w:r>
            <w:r w:rsidRPr="005E3A54">
              <w:rPr>
                <w:rFonts w:eastAsia="Times New Roman" w:cs="Times New Roman"/>
                <w:color w:val="000000"/>
                <w:sz w:val="22"/>
              </w:rPr>
              <w:t>)</w:t>
            </w:r>
          </w:p>
        </w:tc>
        <w:tc>
          <w:tcPr>
            <w:tcW w:w="614" w:type="pct"/>
            <w:shd w:val="clear" w:color="auto" w:fill="auto"/>
            <w:noWrap/>
            <w:vAlign w:val="center"/>
            <w:hideMark/>
          </w:tcPr>
          <w:p w14:paraId="68B8E935"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CDC</w:t>
            </w:r>
          </w:p>
        </w:tc>
        <w:tc>
          <w:tcPr>
            <w:tcW w:w="469" w:type="pct"/>
            <w:shd w:val="clear" w:color="auto" w:fill="auto"/>
            <w:noWrap/>
            <w:vAlign w:val="center"/>
          </w:tcPr>
          <w:p w14:paraId="18D79496"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6.119</w:t>
            </w:r>
          </w:p>
        </w:tc>
        <w:tc>
          <w:tcPr>
            <w:tcW w:w="857" w:type="pct"/>
            <w:shd w:val="clear" w:color="auto" w:fill="auto"/>
            <w:noWrap/>
            <w:vAlign w:val="center"/>
          </w:tcPr>
          <w:p w14:paraId="216BFB69"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5.489/6.436</w:t>
            </w:r>
          </w:p>
        </w:tc>
        <w:tc>
          <w:tcPr>
            <w:tcW w:w="499" w:type="pct"/>
            <w:tcBorders>
              <w:right w:val="double" w:sz="4" w:space="0" w:color="auto"/>
            </w:tcBorders>
            <w:shd w:val="clear" w:color="auto" w:fill="auto"/>
            <w:noWrap/>
            <w:hideMark/>
          </w:tcPr>
          <w:p w14:paraId="4698B878" w14:textId="77777777" w:rsidR="00046E1E" w:rsidRPr="005E3A54" w:rsidRDefault="00046E1E" w:rsidP="00EB5197">
            <w:pPr>
              <w:jc w:val="left"/>
              <w:rPr>
                <w:rFonts w:eastAsia="Times New Roman" w:cs="Times New Roman"/>
                <w:color w:val="000000"/>
                <w:sz w:val="22"/>
              </w:rPr>
            </w:pPr>
            <w:r w:rsidRPr="00577C02">
              <w:rPr>
                <w:rFonts w:eastAsia="Times New Roman" w:cs="Times New Roman"/>
                <w:color w:val="000000"/>
                <w:sz w:val="22"/>
              </w:rPr>
              <w:t>1755</w:t>
            </w:r>
          </w:p>
        </w:tc>
      </w:tr>
      <w:tr w:rsidR="00046E1E" w:rsidRPr="005E3A54" w14:paraId="15F9A2D0" w14:textId="77777777" w:rsidTr="000C0C92">
        <w:trPr>
          <w:trHeight w:val="216"/>
        </w:trPr>
        <w:tc>
          <w:tcPr>
            <w:tcW w:w="5000" w:type="pct"/>
            <w:gridSpan w:val="5"/>
            <w:tcBorders>
              <w:left w:val="double" w:sz="4" w:space="0" w:color="auto"/>
              <w:right w:val="double" w:sz="4" w:space="0" w:color="auto"/>
            </w:tcBorders>
            <w:shd w:val="clear" w:color="auto" w:fill="auto"/>
            <w:noWrap/>
          </w:tcPr>
          <w:p w14:paraId="014A2EFF" w14:textId="77777777" w:rsidR="00046E1E" w:rsidRPr="00577C02" w:rsidRDefault="00046E1E" w:rsidP="00EB5197">
            <w:pPr>
              <w:jc w:val="left"/>
              <w:rPr>
                <w:rFonts w:eastAsia="Times New Roman" w:cs="Times New Roman"/>
                <w:color w:val="000000"/>
                <w:sz w:val="22"/>
              </w:rPr>
            </w:pPr>
            <w:r w:rsidRPr="00736802">
              <w:rPr>
                <w:rFonts w:eastAsia="Times New Roman" w:cs="Times New Roman"/>
                <w:i/>
                <w:iCs/>
                <w:color w:val="000000"/>
                <w:sz w:val="22"/>
              </w:rPr>
              <w:t>Health Infrastructure Attribute</w:t>
            </w:r>
          </w:p>
        </w:tc>
      </w:tr>
      <w:tr w:rsidR="00046E1E" w:rsidRPr="005E3A54" w14:paraId="7F952ED4" w14:textId="77777777" w:rsidTr="000C0C92">
        <w:trPr>
          <w:trHeight w:val="216"/>
        </w:trPr>
        <w:tc>
          <w:tcPr>
            <w:tcW w:w="2561" w:type="pct"/>
            <w:tcBorders>
              <w:left w:val="double" w:sz="4" w:space="0" w:color="auto"/>
            </w:tcBorders>
            <w:shd w:val="clear" w:color="auto" w:fill="auto"/>
            <w:noWrap/>
          </w:tcPr>
          <w:p w14:paraId="24E7C58E" w14:textId="77777777" w:rsidR="00046E1E" w:rsidRPr="005E3A54" w:rsidRDefault="00046E1E" w:rsidP="00EB5197">
            <w:pPr>
              <w:jc w:val="left"/>
              <w:rPr>
                <w:rFonts w:eastAsia="Times New Roman" w:cs="Times New Roman"/>
                <w:color w:val="000000"/>
                <w:sz w:val="22"/>
              </w:rPr>
            </w:pPr>
            <w:r w:rsidRPr="00B31CDB">
              <w:rPr>
                <w:rFonts w:eastAsia="Times New Roman" w:cs="Times New Roman"/>
                <w:color w:val="000000"/>
                <w:szCs w:val="24"/>
              </w:rPr>
              <w:t>Testing rate, 5 days lag</w:t>
            </w:r>
          </w:p>
        </w:tc>
        <w:tc>
          <w:tcPr>
            <w:tcW w:w="614" w:type="pct"/>
            <w:shd w:val="clear" w:color="auto" w:fill="auto"/>
            <w:noWrap/>
            <w:vAlign w:val="center"/>
          </w:tcPr>
          <w:p w14:paraId="6A929C35" w14:textId="77777777" w:rsidR="00046E1E" w:rsidRPr="00903D95" w:rsidRDefault="00046E1E" w:rsidP="00EB5197">
            <w:pPr>
              <w:jc w:val="left"/>
              <w:rPr>
                <w:rFonts w:eastAsia="Times New Roman" w:cs="Times New Roman"/>
                <w:color w:val="000000"/>
                <w:sz w:val="22"/>
              </w:rPr>
            </w:pPr>
            <w:proofErr w:type="spellStart"/>
            <w:r w:rsidRPr="00903D95">
              <w:rPr>
                <w:rFonts w:eastAsia="Times New Roman" w:cs="Times New Roman"/>
                <w:color w:val="000000"/>
                <w:sz w:val="22"/>
              </w:rPr>
              <w:t>CTP</w:t>
            </w:r>
            <w:r w:rsidRPr="00903D95">
              <w:rPr>
                <w:rFonts w:eastAsia="Times New Roman" w:cs="Times New Roman"/>
                <w:color w:val="000000"/>
                <w:sz w:val="22"/>
                <w:vertAlign w:val="superscript"/>
              </w:rPr>
              <w:t>f</w:t>
            </w:r>
            <w:proofErr w:type="spellEnd"/>
          </w:p>
        </w:tc>
        <w:tc>
          <w:tcPr>
            <w:tcW w:w="469" w:type="pct"/>
            <w:shd w:val="clear" w:color="auto" w:fill="auto"/>
            <w:noWrap/>
            <w:vAlign w:val="center"/>
          </w:tcPr>
          <w:p w14:paraId="157F879E"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8.431</w:t>
            </w:r>
          </w:p>
        </w:tc>
        <w:tc>
          <w:tcPr>
            <w:tcW w:w="857" w:type="pct"/>
            <w:shd w:val="clear" w:color="auto" w:fill="auto"/>
            <w:noWrap/>
            <w:vAlign w:val="center"/>
          </w:tcPr>
          <w:p w14:paraId="588278D6" w14:textId="77777777" w:rsidR="00046E1E" w:rsidRPr="00903D95" w:rsidRDefault="00046E1E" w:rsidP="00EB5197">
            <w:pPr>
              <w:jc w:val="left"/>
              <w:rPr>
                <w:rFonts w:eastAsia="Times New Roman" w:cs="Times New Roman"/>
                <w:color w:val="000000"/>
                <w:sz w:val="22"/>
              </w:rPr>
            </w:pPr>
            <w:r w:rsidRPr="00903D95">
              <w:rPr>
                <w:rFonts w:eastAsia="Times New Roman" w:cs="Times New Roman"/>
                <w:color w:val="000000"/>
                <w:sz w:val="22"/>
              </w:rPr>
              <w:t>0.000/12.015</w:t>
            </w:r>
          </w:p>
        </w:tc>
        <w:tc>
          <w:tcPr>
            <w:tcW w:w="499" w:type="pct"/>
            <w:tcBorders>
              <w:right w:val="double" w:sz="4" w:space="0" w:color="auto"/>
            </w:tcBorders>
            <w:shd w:val="clear" w:color="auto" w:fill="auto"/>
            <w:noWrap/>
            <w:vAlign w:val="center"/>
          </w:tcPr>
          <w:p w14:paraId="20628BAD" w14:textId="77777777" w:rsidR="00046E1E" w:rsidRPr="00903D95" w:rsidRDefault="00046E1E" w:rsidP="00EB5197">
            <w:pPr>
              <w:jc w:val="left"/>
              <w:rPr>
                <w:rFonts w:eastAsia="Times New Roman" w:cs="Times New Roman"/>
                <w:color w:val="000000"/>
                <w:sz w:val="22"/>
              </w:rPr>
            </w:pPr>
            <w:r>
              <w:rPr>
                <w:rFonts w:eastAsia="Times New Roman" w:cs="Times New Roman"/>
                <w:color w:val="000000"/>
                <w:sz w:val="22"/>
              </w:rPr>
              <w:t>3</w:t>
            </w:r>
            <w:r w:rsidRPr="00903D95">
              <w:rPr>
                <w:rFonts w:eastAsia="Times New Roman" w:cs="Times New Roman"/>
                <w:color w:val="000000"/>
                <w:sz w:val="22"/>
              </w:rPr>
              <w:t>,</w:t>
            </w:r>
            <w:r>
              <w:rPr>
                <w:rFonts w:eastAsia="Times New Roman" w:cs="Times New Roman"/>
                <w:color w:val="000000"/>
                <w:sz w:val="22"/>
              </w:rPr>
              <w:t>700</w:t>
            </w:r>
          </w:p>
        </w:tc>
      </w:tr>
      <w:tr w:rsidR="00046E1E" w:rsidRPr="005E3A54" w14:paraId="42E70B7C" w14:textId="77777777" w:rsidTr="000C0C92">
        <w:trPr>
          <w:trHeight w:val="216"/>
        </w:trPr>
        <w:tc>
          <w:tcPr>
            <w:tcW w:w="5000" w:type="pct"/>
            <w:gridSpan w:val="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9328A0E" w14:textId="77777777" w:rsidR="00046E1E" w:rsidRPr="00524E60" w:rsidRDefault="00046E1E" w:rsidP="00EB5197">
            <w:pPr>
              <w:jc w:val="left"/>
              <w:rPr>
                <w:rFonts w:eastAsia="Times New Roman" w:cs="Times New Roman"/>
                <w:i/>
                <w:iCs/>
                <w:color w:val="000000"/>
                <w:sz w:val="22"/>
              </w:rPr>
            </w:pPr>
            <w:r w:rsidRPr="00524E60">
              <w:rPr>
                <w:rFonts w:eastAsia="Times New Roman" w:cs="Times New Roman"/>
                <w:i/>
                <w:iCs/>
                <w:color w:val="000000"/>
                <w:sz w:val="22"/>
              </w:rPr>
              <w:t>Spatial factors</w:t>
            </w:r>
          </w:p>
        </w:tc>
      </w:tr>
      <w:tr w:rsidR="00046E1E" w:rsidRPr="005E3A54" w14:paraId="78DBE3B5" w14:textId="77777777" w:rsidTr="000C0C92">
        <w:trPr>
          <w:trHeight w:val="216"/>
        </w:trPr>
        <w:tc>
          <w:tcPr>
            <w:tcW w:w="2561" w:type="pct"/>
            <w:tcBorders>
              <w:top w:val="double" w:sz="4" w:space="0" w:color="auto"/>
              <w:left w:val="double" w:sz="4" w:space="0" w:color="auto"/>
            </w:tcBorders>
            <w:shd w:val="clear" w:color="auto" w:fill="auto"/>
            <w:noWrap/>
            <w:vAlign w:val="center"/>
          </w:tcPr>
          <w:p w14:paraId="34B06A11"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West region</w:t>
            </w:r>
          </w:p>
        </w:tc>
        <w:tc>
          <w:tcPr>
            <w:tcW w:w="614" w:type="pct"/>
            <w:tcBorders>
              <w:top w:val="double" w:sz="4" w:space="0" w:color="auto"/>
            </w:tcBorders>
            <w:shd w:val="clear" w:color="auto" w:fill="auto"/>
            <w:noWrap/>
            <w:vAlign w:val="center"/>
          </w:tcPr>
          <w:p w14:paraId="6EE1D5BB"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USA map</w:t>
            </w:r>
          </w:p>
        </w:tc>
        <w:tc>
          <w:tcPr>
            <w:tcW w:w="469" w:type="pct"/>
            <w:tcBorders>
              <w:top w:val="double" w:sz="4" w:space="0" w:color="auto"/>
            </w:tcBorders>
            <w:shd w:val="clear" w:color="auto" w:fill="auto"/>
            <w:noWrap/>
            <w:vAlign w:val="center"/>
          </w:tcPr>
          <w:p w14:paraId="68D152A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0.120</w:t>
            </w:r>
          </w:p>
        </w:tc>
        <w:tc>
          <w:tcPr>
            <w:tcW w:w="857" w:type="pct"/>
            <w:tcBorders>
              <w:top w:val="double" w:sz="4" w:space="0" w:color="auto"/>
            </w:tcBorders>
            <w:shd w:val="clear" w:color="auto" w:fill="auto"/>
            <w:noWrap/>
          </w:tcPr>
          <w:p w14:paraId="415DBED8"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double" w:sz="4" w:space="0" w:color="auto"/>
              <w:right w:val="double" w:sz="4" w:space="0" w:color="auto"/>
            </w:tcBorders>
            <w:shd w:val="clear" w:color="auto" w:fill="auto"/>
            <w:noWrap/>
            <w:vAlign w:val="center"/>
          </w:tcPr>
          <w:p w14:paraId="446F31F2"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17</w:t>
            </w:r>
            <w:r>
              <w:rPr>
                <w:rFonts w:eastAsia="Times New Roman" w:cs="Times New Roman"/>
                <w:color w:val="000000"/>
                <w:sz w:val="22"/>
              </w:rPr>
              <w:t>5</w:t>
            </w:r>
            <w:r w:rsidRPr="005E3A54">
              <w:rPr>
                <w:rFonts w:eastAsia="Times New Roman" w:cs="Times New Roman"/>
                <w:color w:val="000000"/>
                <w:sz w:val="22"/>
              </w:rPr>
              <w:t>5</w:t>
            </w:r>
          </w:p>
        </w:tc>
      </w:tr>
      <w:tr w:rsidR="00046E1E" w:rsidRPr="005E3A54" w14:paraId="38B03693" w14:textId="77777777" w:rsidTr="000C0C92">
        <w:trPr>
          <w:trHeight w:val="216"/>
        </w:trPr>
        <w:tc>
          <w:tcPr>
            <w:tcW w:w="2561" w:type="pct"/>
            <w:tcBorders>
              <w:top w:val="single" w:sz="4" w:space="0" w:color="auto"/>
              <w:left w:val="double" w:sz="4" w:space="0" w:color="auto"/>
            </w:tcBorders>
            <w:shd w:val="clear" w:color="auto" w:fill="auto"/>
            <w:noWrap/>
            <w:vAlign w:val="center"/>
          </w:tcPr>
          <w:p w14:paraId="26BB8BF2"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Mid-West region</w:t>
            </w:r>
          </w:p>
        </w:tc>
        <w:tc>
          <w:tcPr>
            <w:tcW w:w="614" w:type="pct"/>
            <w:tcBorders>
              <w:top w:val="single" w:sz="4" w:space="0" w:color="auto"/>
            </w:tcBorders>
            <w:shd w:val="clear" w:color="auto" w:fill="auto"/>
            <w:noWrap/>
          </w:tcPr>
          <w:p w14:paraId="03F479B1"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USA map</w:t>
            </w:r>
          </w:p>
        </w:tc>
        <w:tc>
          <w:tcPr>
            <w:tcW w:w="469" w:type="pct"/>
            <w:tcBorders>
              <w:top w:val="single" w:sz="4" w:space="0" w:color="auto"/>
            </w:tcBorders>
            <w:shd w:val="clear" w:color="auto" w:fill="auto"/>
            <w:noWrap/>
            <w:vAlign w:val="center"/>
          </w:tcPr>
          <w:p w14:paraId="54ED264F"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0.108</w:t>
            </w:r>
          </w:p>
        </w:tc>
        <w:tc>
          <w:tcPr>
            <w:tcW w:w="857" w:type="pct"/>
            <w:tcBorders>
              <w:top w:val="single" w:sz="4" w:space="0" w:color="auto"/>
            </w:tcBorders>
            <w:shd w:val="clear" w:color="auto" w:fill="auto"/>
            <w:noWrap/>
          </w:tcPr>
          <w:p w14:paraId="28E38895"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single" w:sz="4" w:space="0" w:color="auto"/>
              <w:right w:val="double" w:sz="4" w:space="0" w:color="auto"/>
            </w:tcBorders>
            <w:shd w:val="clear" w:color="auto" w:fill="auto"/>
            <w:noWrap/>
          </w:tcPr>
          <w:p w14:paraId="3BFB747A" w14:textId="77777777" w:rsidR="00046E1E" w:rsidRPr="005E3A54" w:rsidRDefault="00046E1E" w:rsidP="00EB5197">
            <w:pPr>
              <w:jc w:val="left"/>
              <w:rPr>
                <w:rFonts w:eastAsia="Times New Roman" w:cs="Times New Roman"/>
                <w:color w:val="000000"/>
                <w:sz w:val="22"/>
              </w:rPr>
            </w:pPr>
            <w:r w:rsidRPr="00EE1939">
              <w:rPr>
                <w:rFonts w:eastAsia="Times New Roman" w:cs="Times New Roman"/>
                <w:color w:val="000000"/>
                <w:sz w:val="22"/>
              </w:rPr>
              <w:t>1755</w:t>
            </w:r>
          </w:p>
        </w:tc>
      </w:tr>
      <w:tr w:rsidR="00046E1E" w:rsidRPr="005E3A54" w14:paraId="0C7C1220" w14:textId="77777777" w:rsidTr="000C0C92">
        <w:trPr>
          <w:trHeight w:val="216"/>
        </w:trPr>
        <w:tc>
          <w:tcPr>
            <w:tcW w:w="2561" w:type="pct"/>
            <w:tcBorders>
              <w:top w:val="single" w:sz="4" w:space="0" w:color="auto"/>
              <w:left w:val="double" w:sz="4" w:space="0" w:color="auto"/>
            </w:tcBorders>
            <w:shd w:val="clear" w:color="auto" w:fill="auto"/>
            <w:noWrap/>
            <w:vAlign w:val="center"/>
          </w:tcPr>
          <w:p w14:paraId="5B2A7F77"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North-East region</w:t>
            </w:r>
          </w:p>
        </w:tc>
        <w:tc>
          <w:tcPr>
            <w:tcW w:w="614" w:type="pct"/>
            <w:tcBorders>
              <w:top w:val="single" w:sz="4" w:space="0" w:color="auto"/>
            </w:tcBorders>
            <w:shd w:val="clear" w:color="auto" w:fill="auto"/>
            <w:noWrap/>
          </w:tcPr>
          <w:p w14:paraId="0868DED0"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USA map</w:t>
            </w:r>
          </w:p>
        </w:tc>
        <w:tc>
          <w:tcPr>
            <w:tcW w:w="469" w:type="pct"/>
            <w:tcBorders>
              <w:top w:val="single" w:sz="4" w:space="0" w:color="auto"/>
            </w:tcBorders>
            <w:shd w:val="clear" w:color="auto" w:fill="auto"/>
            <w:noWrap/>
            <w:vAlign w:val="center"/>
          </w:tcPr>
          <w:p w14:paraId="3A38783A"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0.308</w:t>
            </w:r>
          </w:p>
        </w:tc>
        <w:tc>
          <w:tcPr>
            <w:tcW w:w="857" w:type="pct"/>
            <w:tcBorders>
              <w:top w:val="single" w:sz="4" w:space="0" w:color="auto"/>
            </w:tcBorders>
            <w:shd w:val="clear" w:color="auto" w:fill="auto"/>
            <w:noWrap/>
          </w:tcPr>
          <w:p w14:paraId="2369186C"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single" w:sz="4" w:space="0" w:color="auto"/>
              <w:right w:val="double" w:sz="4" w:space="0" w:color="auto"/>
            </w:tcBorders>
            <w:shd w:val="clear" w:color="auto" w:fill="auto"/>
            <w:noWrap/>
          </w:tcPr>
          <w:p w14:paraId="11DAA86D" w14:textId="77777777" w:rsidR="00046E1E" w:rsidRPr="005E3A54" w:rsidRDefault="00046E1E" w:rsidP="00EB5197">
            <w:pPr>
              <w:jc w:val="left"/>
              <w:rPr>
                <w:rFonts w:eastAsia="Times New Roman" w:cs="Times New Roman"/>
                <w:color w:val="000000"/>
                <w:sz w:val="22"/>
              </w:rPr>
            </w:pPr>
            <w:r w:rsidRPr="00EE1939">
              <w:rPr>
                <w:rFonts w:eastAsia="Times New Roman" w:cs="Times New Roman"/>
                <w:color w:val="000000"/>
                <w:sz w:val="22"/>
              </w:rPr>
              <w:t>1755</w:t>
            </w:r>
          </w:p>
        </w:tc>
      </w:tr>
      <w:tr w:rsidR="00046E1E" w:rsidRPr="005E3A54" w14:paraId="6FD1A543" w14:textId="77777777" w:rsidTr="000C0C92">
        <w:trPr>
          <w:trHeight w:val="216"/>
        </w:trPr>
        <w:tc>
          <w:tcPr>
            <w:tcW w:w="2561" w:type="pct"/>
            <w:tcBorders>
              <w:top w:val="single" w:sz="4" w:space="0" w:color="auto"/>
              <w:left w:val="double" w:sz="4" w:space="0" w:color="auto"/>
            </w:tcBorders>
            <w:shd w:val="clear" w:color="auto" w:fill="auto"/>
            <w:noWrap/>
            <w:vAlign w:val="center"/>
          </w:tcPr>
          <w:p w14:paraId="0ED015C4"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lastRenderedPageBreak/>
              <w:t>Top 10 tourist state</w:t>
            </w:r>
          </w:p>
        </w:tc>
        <w:tc>
          <w:tcPr>
            <w:tcW w:w="614" w:type="pct"/>
            <w:tcBorders>
              <w:top w:val="single" w:sz="4" w:space="0" w:color="auto"/>
            </w:tcBorders>
            <w:shd w:val="clear" w:color="auto" w:fill="auto"/>
            <w:noWrap/>
            <w:vAlign w:val="center"/>
          </w:tcPr>
          <w:p w14:paraId="5FDFC642"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CHRR</w:t>
            </w:r>
          </w:p>
        </w:tc>
        <w:tc>
          <w:tcPr>
            <w:tcW w:w="469" w:type="pct"/>
            <w:tcBorders>
              <w:top w:val="single" w:sz="4" w:space="0" w:color="auto"/>
            </w:tcBorders>
            <w:shd w:val="clear" w:color="auto" w:fill="auto"/>
            <w:noWrap/>
            <w:vAlign w:val="center"/>
          </w:tcPr>
          <w:p w14:paraId="26C5CBD0"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0.252</w:t>
            </w:r>
          </w:p>
        </w:tc>
        <w:tc>
          <w:tcPr>
            <w:tcW w:w="857" w:type="pct"/>
            <w:tcBorders>
              <w:top w:val="single" w:sz="4" w:space="0" w:color="auto"/>
            </w:tcBorders>
            <w:shd w:val="clear" w:color="auto" w:fill="auto"/>
            <w:noWrap/>
          </w:tcPr>
          <w:p w14:paraId="0D28AB61"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0.000/1.000</w:t>
            </w:r>
          </w:p>
        </w:tc>
        <w:tc>
          <w:tcPr>
            <w:tcW w:w="499" w:type="pct"/>
            <w:tcBorders>
              <w:top w:val="single" w:sz="4" w:space="0" w:color="auto"/>
              <w:right w:val="double" w:sz="4" w:space="0" w:color="auto"/>
            </w:tcBorders>
            <w:shd w:val="clear" w:color="auto" w:fill="auto"/>
            <w:noWrap/>
          </w:tcPr>
          <w:p w14:paraId="6C436048" w14:textId="77777777" w:rsidR="00046E1E" w:rsidRPr="005E3A54" w:rsidRDefault="00046E1E" w:rsidP="00EB5197">
            <w:pPr>
              <w:jc w:val="left"/>
              <w:rPr>
                <w:rFonts w:eastAsia="Times New Roman" w:cs="Times New Roman"/>
                <w:color w:val="000000"/>
                <w:sz w:val="22"/>
              </w:rPr>
            </w:pPr>
            <w:r w:rsidRPr="00EE1939">
              <w:rPr>
                <w:rFonts w:eastAsia="Times New Roman" w:cs="Times New Roman"/>
                <w:color w:val="000000"/>
                <w:sz w:val="22"/>
              </w:rPr>
              <w:t>1755</w:t>
            </w:r>
          </w:p>
        </w:tc>
      </w:tr>
      <w:tr w:rsidR="00046E1E" w:rsidRPr="005E3A54" w14:paraId="61077B00" w14:textId="77777777" w:rsidTr="000C0C92">
        <w:trPr>
          <w:trHeight w:val="216"/>
        </w:trPr>
        <w:tc>
          <w:tcPr>
            <w:tcW w:w="2561" w:type="pct"/>
            <w:tcBorders>
              <w:left w:val="double" w:sz="4" w:space="0" w:color="auto"/>
            </w:tcBorders>
            <w:shd w:val="clear" w:color="auto" w:fill="auto"/>
            <w:noWrap/>
            <w:vAlign w:val="center"/>
            <w:hideMark/>
          </w:tcPr>
          <w:p w14:paraId="58BDE5F6" w14:textId="701F7F3B"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 xml:space="preserve">Number of airports per 100k </w:t>
            </w:r>
            <w:r w:rsidR="00474D5B">
              <w:rPr>
                <w:rFonts w:eastAsia="Times New Roman" w:cs="Times New Roman"/>
                <w:color w:val="000000"/>
                <w:sz w:val="22"/>
              </w:rPr>
              <w:t>population</w:t>
            </w:r>
          </w:p>
        </w:tc>
        <w:tc>
          <w:tcPr>
            <w:tcW w:w="614" w:type="pct"/>
            <w:shd w:val="clear" w:color="auto" w:fill="auto"/>
            <w:noWrap/>
            <w:vAlign w:val="center"/>
            <w:hideMark/>
          </w:tcPr>
          <w:p w14:paraId="082BFA7E"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CHRR</w:t>
            </w:r>
          </w:p>
        </w:tc>
        <w:tc>
          <w:tcPr>
            <w:tcW w:w="469" w:type="pct"/>
            <w:shd w:val="clear" w:color="auto" w:fill="auto"/>
            <w:noWrap/>
            <w:vAlign w:val="center"/>
          </w:tcPr>
          <w:p w14:paraId="1A356B5F"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1.269</w:t>
            </w:r>
          </w:p>
        </w:tc>
        <w:tc>
          <w:tcPr>
            <w:tcW w:w="857" w:type="pct"/>
            <w:shd w:val="clear" w:color="auto" w:fill="auto"/>
            <w:noWrap/>
            <w:hideMark/>
          </w:tcPr>
          <w:p w14:paraId="0E64ECD0" w14:textId="77777777" w:rsidR="00046E1E" w:rsidRPr="005E3A54" w:rsidRDefault="00046E1E" w:rsidP="00EB5197">
            <w:pPr>
              <w:jc w:val="left"/>
              <w:rPr>
                <w:rFonts w:eastAsia="Times New Roman" w:cs="Times New Roman"/>
                <w:color w:val="000000"/>
                <w:sz w:val="22"/>
              </w:rPr>
            </w:pPr>
            <w:r w:rsidRPr="005E3A54">
              <w:rPr>
                <w:rFonts w:eastAsia="Times New Roman" w:cs="Times New Roman"/>
                <w:color w:val="000000"/>
                <w:sz w:val="22"/>
              </w:rPr>
              <w:t>0.000/24.927</w:t>
            </w:r>
          </w:p>
        </w:tc>
        <w:tc>
          <w:tcPr>
            <w:tcW w:w="499" w:type="pct"/>
            <w:tcBorders>
              <w:right w:val="double" w:sz="4" w:space="0" w:color="auto"/>
            </w:tcBorders>
            <w:shd w:val="clear" w:color="auto" w:fill="auto"/>
            <w:noWrap/>
            <w:hideMark/>
          </w:tcPr>
          <w:p w14:paraId="50DD9E1C" w14:textId="77777777" w:rsidR="00046E1E" w:rsidRPr="005E3A54" w:rsidRDefault="00046E1E" w:rsidP="00EB5197">
            <w:pPr>
              <w:jc w:val="left"/>
              <w:rPr>
                <w:rFonts w:eastAsia="Times New Roman" w:cs="Times New Roman"/>
                <w:color w:val="000000"/>
                <w:sz w:val="22"/>
              </w:rPr>
            </w:pPr>
            <w:r w:rsidRPr="00EE1939">
              <w:rPr>
                <w:rFonts w:eastAsia="Times New Roman" w:cs="Times New Roman"/>
                <w:color w:val="000000"/>
                <w:sz w:val="22"/>
              </w:rPr>
              <w:t>1755</w:t>
            </w:r>
          </w:p>
        </w:tc>
      </w:tr>
    </w:tbl>
    <w:p w14:paraId="2CE4353E" w14:textId="7B9A8640" w:rsidR="00046E1E" w:rsidRDefault="00046E1E" w:rsidP="00EB5197">
      <w:pPr>
        <w:rPr>
          <w:rFonts w:cs="Times New Roman"/>
          <w:sz w:val="20"/>
          <w:szCs w:val="20"/>
          <w:vertAlign w:val="superscript"/>
        </w:rPr>
      </w:pPr>
      <w:r>
        <w:rPr>
          <w:rFonts w:cs="Times New Roman"/>
          <w:i/>
          <w:iCs/>
          <w:sz w:val="20"/>
          <w:szCs w:val="20"/>
          <w:vertAlign w:val="superscript"/>
        </w:rPr>
        <w:t>a</w:t>
      </w:r>
      <w:r w:rsidRPr="00C86901">
        <w:rPr>
          <w:rFonts w:cs="Times New Roman"/>
          <w:i/>
          <w:iCs/>
          <w:sz w:val="20"/>
          <w:szCs w:val="20"/>
        </w:rPr>
        <w:t xml:space="preserve"> = </w:t>
      </w:r>
      <w:bookmarkStart w:id="2" w:name="_Hlk82960503"/>
      <w:r w:rsidRPr="00C86901">
        <w:rPr>
          <w:rFonts w:cs="Times New Roman"/>
          <w:sz w:val="20"/>
          <w:szCs w:val="20"/>
        </w:rPr>
        <w:t>Center for Systems Science and Engineering Coronavirus Resource Center at Johns Hopkins Universit</w:t>
      </w:r>
      <w:bookmarkEnd w:id="2"/>
      <w:r>
        <w:rPr>
          <w:rFonts w:cs="Times New Roman"/>
          <w:sz w:val="20"/>
          <w:szCs w:val="20"/>
        </w:rPr>
        <w:t xml:space="preserve">y </w:t>
      </w:r>
      <w:r>
        <w:rPr>
          <w:rFonts w:cs="Times New Roman"/>
          <w:sz w:val="20"/>
          <w:szCs w:val="20"/>
        </w:rPr>
        <w:fldChar w:fldCharType="begin" w:fldLock="1"/>
      </w:r>
      <w:r w:rsidR="004968DA">
        <w:rPr>
          <w:rFonts w:cs="Times New Roman"/>
          <w:sz w:val="20"/>
          <w:szCs w:val="20"/>
        </w:rPr>
        <w:instrText>ADDIN CSL_CITATION {"citationItems":[{"id":"ITEM-1","itemData":{"URL":"https://coronavirus.jhu.edu/map.html","accessed":{"date-parts":[["2021","1","27"]]},"id":"ITEM-1","issued":{"date-parts":[["0"]]},"title":"COVID-19 Map - Johns Hopkins Coronavirus Resource Center","type":"webpage"},"uris":["http://www.mendeley.com/documents/?uuid=1c567780-b9b9-319d-b989-d0420b15394f"]}],"mendeley":{"formattedCitation":"(&lt;i&gt;16&lt;/i&gt;)","plainTextFormattedCitation":"(16)","previouslyFormattedCitation":"(&lt;i&gt;16&lt;/i&gt;)"},"properties":{"noteIndex":0},"schema":"https://github.com/citation-style-language/schema/raw/master/csl-citation.json"}</w:instrText>
      </w:r>
      <w:r>
        <w:rPr>
          <w:rFonts w:cs="Times New Roman"/>
          <w:sz w:val="20"/>
          <w:szCs w:val="20"/>
        </w:rPr>
        <w:fldChar w:fldCharType="separate"/>
      </w:r>
      <w:r w:rsidR="003A5A4F" w:rsidRPr="003A5A4F">
        <w:rPr>
          <w:rFonts w:cs="Times New Roman"/>
          <w:noProof/>
          <w:sz w:val="20"/>
          <w:szCs w:val="20"/>
        </w:rPr>
        <w:t>(</w:t>
      </w:r>
      <w:r w:rsidR="003A5A4F" w:rsidRPr="003A5A4F">
        <w:rPr>
          <w:rFonts w:cs="Times New Roman"/>
          <w:i/>
          <w:noProof/>
          <w:sz w:val="20"/>
          <w:szCs w:val="20"/>
        </w:rPr>
        <w:t>16</w:t>
      </w:r>
      <w:r w:rsidR="003A5A4F" w:rsidRPr="003A5A4F">
        <w:rPr>
          <w:rFonts w:cs="Times New Roman"/>
          <w:noProof/>
          <w:sz w:val="20"/>
          <w:szCs w:val="20"/>
        </w:rPr>
        <w:t>)</w:t>
      </w:r>
      <w:r>
        <w:rPr>
          <w:rFonts w:cs="Times New Roman"/>
          <w:sz w:val="20"/>
          <w:szCs w:val="20"/>
        </w:rPr>
        <w:fldChar w:fldCharType="end"/>
      </w:r>
      <w:r>
        <w:rPr>
          <w:rFonts w:cs="Times New Roman"/>
          <w:sz w:val="20"/>
          <w:szCs w:val="20"/>
        </w:rPr>
        <w:t xml:space="preserve">; </w:t>
      </w:r>
      <w:r>
        <w:rPr>
          <w:rFonts w:cs="Times New Roman"/>
          <w:i/>
          <w:iCs/>
          <w:sz w:val="20"/>
          <w:szCs w:val="20"/>
          <w:vertAlign w:val="superscript"/>
        </w:rPr>
        <w:t>b</w:t>
      </w:r>
      <w:r w:rsidRPr="00C86901">
        <w:rPr>
          <w:rFonts w:cs="Times New Roman"/>
          <w:i/>
          <w:iCs/>
          <w:sz w:val="20"/>
          <w:szCs w:val="20"/>
        </w:rPr>
        <w:t xml:space="preserve">= </w:t>
      </w:r>
      <w:r w:rsidRPr="00C86901">
        <w:rPr>
          <w:rFonts w:cs="Times New Roman"/>
          <w:sz w:val="20"/>
          <w:szCs w:val="20"/>
        </w:rPr>
        <w:t>COVID Exposure Indices</w:t>
      </w:r>
      <w:r>
        <w:rPr>
          <w:rFonts w:cs="Times New Roman"/>
          <w:sz w:val="20"/>
          <w:szCs w:val="20"/>
        </w:rPr>
        <w:t xml:space="preserve"> </w:t>
      </w:r>
      <w:r>
        <w:rPr>
          <w:rFonts w:cs="Times New Roman"/>
          <w:sz w:val="20"/>
          <w:szCs w:val="20"/>
        </w:rPr>
        <w:fldChar w:fldCharType="begin" w:fldLock="1"/>
      </w:r>
      <w:r w:rsidR="004968DA">
        <w:rPr>
          <w:rFonts w:cs="Times New Roman"/>
          <w:sz w:val="20"/>
          <w:szCs w:val="20"/>
        </w:rPr>
        <w:instrText>ADDIN CSL_CITATION {"citationItems":[{"id":"ITEM-1","itemData":{"DOI":"10.1016/j.jue.2021.103328","ISSN":"00941190","abstract":"Tracking human activity in real time and at fine spatial scale is particularly valuable during episodes such as the COVID-19 pandemic. In this paper, we discuss the suitability of smartphone data for quantifying movement and social contact. These data cover broad sections of the US population and exhibit pre-pandemic patterns similar to conventional survey data. We develop and make publicly available a location exposure index that summarizes county-to-county movements and a device exposure index that quantifies social contact within venues. We also investigate the reliability of smartphone movement data during the pandemic.","author":[{"dropping-particle":"","family":"Couture","given":"Victor","non-dropping-particle":"","parse-names":false,"suffix":""},{"dropping-particle":"","family":"Dingel","given":"Jonathan I.","non-dropping-particle":"","parse-names":false,"suffix":""},{"dropping-particle":"","family":"Green","given":"Allison","non-dropping-particle":"","parse-names":false,"suffix":""},{"dropping-particle":"","family":"Handbury","given":"Jessie","non-dropping-particle":"","parse-names":false,"suffix":""},{"dropping-particle":"","family":"Williams","given":"Kevin R.","non-dropping-particle":"","parse-names":false,"suffix":""}],"container-title":"Journal of Urban Economics","id":"ITEM-1","issue":"2241","issued":{"date-parts":[["2022"]]},"number":"35","title":"JUE Insight: Measuring movement and social contact with smartphone data: a real-time application to COVID-19","type":"report","volume":"127"},"uris":["http://www.mendeley.com/documents/?uuid=8280ada3-ff97-4b1e-b873-ba9a2a4bd6c7"]}],"mendeley":{"formattedCitation":"(&lt;i&gt;15&lt;/i&gt;)","plainTextFormattedCitation":"(15)","previouslyFormattedCitation":"(&lt;i&gt;15&lt;/i&gt;)"},"properties":{"noteIndex":0},"schema":"https://github.com/citation-style-language/schema/raw/master/csl-citation.json"}</w:instrText>
      </w:r>
      <w:r>
        <w:rPr>
          <w:rFonts w:cs="Times New Roman"/>
          <w:sz w:val="20"/>
          <w:szCs w:val="20"/>
        </w:rPr>
        <w:fldChar w:fldCharType="separate"/>
      </w:r>
      <w:r w:rsidR="003A5A4F" w:rsidRPr="003A5A4F">
        <w:rPr>
          <w:rFonts w:cs="Times New Roman"/>
          <w:noProof/>
          <w:sz w:val="20"/>
          <w:szCs w:val="20"/>
        </w:rPr>
        <w:t>(</w:t>
      </w:r>
      <w:r w:rsidR="003A5A4F" w:rsidRPr="003A5A4F">
        <w:rPr>
          <w:rFonts w:cs="Times New Roman"/>
          <w:i/>
          <w:noProof/>
          <w:sz w:val="20"/>
          <w:szCs w:val="20"/>
        </w:rPr>
        <w:t>15</w:t>
      </w:r>
      <w:r w:rsidR="003A5A4F" w:rsidRPr="003A5A4F">
        <w:rPr>
          <w:rFonts w:cs="Times New Roman"/>
          <w:noProof/>
          <w:sz w:val="20"/>
          <w:szCs w:val="20"/>
        </w:rPr>
        <w:t>)</w:t>
      </w:r>
      <w:r>
        <w:rPr>
          <w:rFonts w:cs="Times New Roman"/>
          <w:sz w:val="20"/>
          <w:szCs w:val="20"/>
        </w:rPr>
        <w:fldChar w:fldCharType="end"/>
      </w:r>
      <w:r>
        <w:rPr>
          <w:rFonts w:cs="Times New Roman"/>
          <w:sz w:val="20"/>
          <w:szCs w:val="20"/>
        </w:rPr>
        <w:t>;</w:t>
      </w:r>
      <w:r w:rsidRPr="006E2E83">
        <w:rPr>
          <w:rFonts w:cs="Times New Roman"/>
          <w:i/>
          <w:iCs/>
          <w:sz w:val="20"/>
          <w:szCs w:val="20"/>
          <w:vertAlign w:val="superscript"/>
        </w:rPr>
        <w:t xml:space="preserve"> </w:t>
      </w:r>
      <w:r>
        <w:rPr>
          <w:rFonts w:cs="Times New Roman"/>
          <w:i/>
          <w:iCs/>
          <w:sz w:val="20"/>
          <w:szCs w:val="20"/>
          <w:vertAlign w:val="superscript"/>
        </w:rPr>
        <w:t>c</w:t>
      </w:r>
      <w:r w:rsidRPr="00C86901">
        <w:rPr>
          <w:rFonts w:cs="Times New Roman"/>
          <w:i/>
          <w:iCs/>
          <w:sz w:val="20"/>
          <w:szCs w:val="20"/>
        </w:rPr>
        <w:t xml:space="preserve"> =</w:t>
      </w:r>
      <w:r w:rsidRPr="00C86901">
        <w:rPr>
          <w:rFonts w:cs="Times New Roman"/>
          <w:sz w:val="20"/>
          <w:szCs w:val="20"/>
        </w:rPr>
        <w:t>American Community Survey</w:t>
      </w:r>
      <w:r>
        <w:rPr>
          <w:rFonts w:cs="Times New Roman"/>
          <w:sz w:val="20"/>
          <w:szCs w:val="20"/>
        </w:rPr>
        <w:t xml:space="preserve">; </w:t>
      </w:r>
      <w:r>
        <w:rPr>
          <w:rFonts w:cs="Times New Roman"/>
          <w:i/>
          <w:iCs/>
          <w:sz w:val="20"/>
          <w:szCs w:val="20"/>
          <w:vertAlign w:val="superscript"/>
        </w:rPr>
        <w:t>d</w:t>
      </w:r>
      <w:r w:rsidRPr="00C86901">
        <w:rPr>
          <w:rFonts w:cs="Times New Roman"/>
          <w:i/>
          <w:iCs/>
          <w:sz w:val="20"/>
          <w:szCs w:val="20"/>
        </w:rPr>
        <w:t xml:space="preserve"> = </w:t>
      </w:r>
      <w:r w:rsidRPr="00C86901">
        <w:rPr>
          <w:rFonts w:cs="Times New Roman"/>
          <w:sz w:val="20"/>
          <w:szCs w:val="20"/>
        </w:rPr>
        <w:t>County Health Rankings &amp; Roadmaps</w:t>
      </w:r>
      <w:r>
        <w:rPr>
          <w:rFonts w:cs="Times New Roman"/>
          <w:sz w:val="20"/>
          <w:szCs w:val="20"/>
        </w:rPr>
        <w:t xml:space="preserve">; </w:t>
      </w:r>
      <w:r>
        <w:rPr>
          <w:rFonts w:cs="Times New Roman"/>
          <w:i/>
          <w:iCs/>
          <w:sz w:val="20"/>
          <w:szCs w:val="20"/>
          <w:vertAlign w:val="superscript"/>
        </w:rPr>
        <w:t>e</w:t>
      </w:r>
      <w:r w:rsidRPr="00C86901">
        <w:rPr>
          <w:rFonts w:cs="Times New Roman"/>
          <w:i/>
          <w:iCs/>
          <w:sz w:val="20"/>
          <w:szCs w:val="20"/>
        </w:rPr>
        <w:t xml:space="preserve">= </w:t>
      </w:r>
      <w:r w:rsidRPr="00C86901">
        <w:rPr>
          <w:rFonts w:cs="Times New Roman"/>
          <w:sz w:val="20"/>
          <w:szCs w:val="20"/>
        </w:rPr>
        <w:t>Central for Disease Control</w:t>
      </w:r>
      <w:r>
        <w:rPr>
          <w:rFonts w:cs="Times New Roman"/>
          <w:sz w:val="20"/>
          <w:szCs w:val="20"/>
        </w:rPr>
        <w:t xml:space="preserve"> </w:t>
      </w:r>
      <w:r w:rsidRPr="00C86901">
        <w:rPr>
          <w:rFonts w:cs="Times New Roman"/>
          <w:sz w:val="20"/>
          <w:szCs w:val="20"/>
        </w:rPr>
        <w:t xml:space="preserve"> System</w:t>
      </w:r>
      <w:r>
        <w:rPr>
          <w:rFonts w:cs="Times New Roman"/>
          <w:sz w:val="20"/>
          <w:szCs w:val="20"/>
        </w:rPr>
        <w:t xml:space="preserve">; </w:t>
      </w:r>
      <w:r>
        <w:rPr>
          <w:rFonts w:cs="Times New Roman"/>
          <w:i/>
          <w:iCs/>
          <w:sz w:val="20"/>
          <w:szCs w:val="20"/>
          <w:vertAlign w:val="superscript"/>
        </w:rPr>
        <w:t>f</w:t>
      </w:r>
      <w:r w:rsidRPr="00C86901">
        <w:rPr>
          <w:rFonts w:cs="Times New Roman"/>
          <w:i/>
          <w:iCs/>
          <w:sz w:val="20"/>
          <w:szCs w:val="20"/>
        </w:rPr>
        <w:t xml:space="preserve">= </w:t>
      </w:r>
      <w:r w:rsidRPr="00C86901">
        <w:rPr>
          <w:rFonts w:cs="Times New Roman"/>
          <w:sz w:val="20"/>
          <w:szCs w:val="20"/>
        </w:rPr>
        <w:t>Center for Systems Science and Engineering Coronavirus Resource Center at Johns Hopkins University</w:t>
      </w:r>
      <w:r>
        <w:rPr>
          <w:rFonts w:cs="Times New Roman"/>
          <w:sz w:val="20"/>
          <w:szCs w:val="20"/>
          <w:vertAlign w:val="superscript"/>
        </w:rPr>
        <w:t xml:space="preserve"> </w:t>
      </w:r>
      <w:r>
        <w:rPr>
          <w:rFonts w:cs="Times New Roman"/>
          <w:sz w:val="20"/>
          <w:szCs w:val="20"/>
          <w:vertAlign w:val="superscript"/>
        </w:rPr>
        <w:fldChar w:fldCharType="begin" w:fldLock="1"/>
      </w:r>
      <w:r w:rsidR="004968DA">
        <w:rPr>
          <w:rFonts w:cs="Times New Roman"/>
          <w:sz w:val="20"/>
          <w:szCs w:val="20"/>
          <w:vertAlign w:val="superscript"/>
        </w:rPr>
        <w:instrText>ADDIN CSL_CITATION {"citationItems":[{"id":"ITEM-1","itemData":{"URL":"https://covidtracking.com/data","accessed":{"date-parts":[["2020","8","13"]]},"id":"ITEM-1","issued":{"date-parts":[["0"]]},"title":"Our Data: The COVID Tracking Project","type":"webpage"},"uris":["http://www.mendeley.com/documents/?uuid=2f36548b-f0fc-349b-881d-58441782f8d1"]}],"mendeley":{"formattedCitation":"(&lt;i&gt;17&lt;/i&gt;)","plainTextFormattedCitation":"(17)","previouslyFormattedCitation":"(&lt;i&gt;17&lt;/i&gt;)"},"properties":{"noteIndex":0},"schema":"https://github.com/citation-style-language/schema/raw/master/csl-citation.json"}</w:instrText>
      </w:r>
      <w:r>
        <w:rPr>
          <w:rFonts w:cs="Times New Roman"/>
          <w:sz w:val="20"/>
          <w:szCs w:val="20"/>
          <w:vertAlign w:val="superscript"/>
        </w:rPr>
        <w:fldChar w:fldCharType="separate"/>
      </w:r>
      <w:r w:rsidR="003A5A4F" w:rsidRPr="003A5A4F">
        <w:rPr>
          <w:rFonts w:cs="Times New Roman"/>
          <w:noProof/>
          <w:sz w:val="20"/>
          <w:szCs w:val="20"/>
        </w:rPr>
        <w:t>(</w:t>
      </w:r>
      <w:r w:rsidR="003A5A4F" w:rsidRPr="003A5A4F">
        <w:rPr>
          <w:rFonts w:cs="Times New Roman"/>
          <w:i/>
          <w:noProof/>
          <w:sz w:val="20"/>
          <w:szCs w:val="20"/>
        </w:rPr>
        <w:t>17</w:t>
      </w:r>
      <w:r w:rsidR="003A5A4F" w:rsidRPr="003A5A4F">
        <w:rPr>
          <w:rFonts w:cs="Times New Roman"/>
          <w:noProof/>
          <w:sz w:val="20"/>
          <w:szCs w:val="20"/>
        </w:rPr>
        <w:t>)</w:t>
      </w:r>
      <w:r>
        <w:rPr>
          <w:rFonts w:cs="Times New Roman"/>
          <w:sz w:val="20"/>
          <w:szCs w:val="20"/>
          <w:vertAlign w:val="superscript"/>
        </w:rPr>
        <w:fldChar w:fldCharType="end"/>
      </w:r>
      <w:r>
        <w:rPr>
          <w:rFonts w:cs="Times New Roman"/>
          <w:sz w:val="20"/>
          <w:szCs w:val="20"/>
        </w:rPr>
        <w:t>.</w:t>
      </w:r>
    </w:p>
    <w:p w14:paraId="3C05B5B7" w14:textId="77777777" w:rsidR="00A53017" w:rsidRDefault="00A53017" w:rsidP="00EB5197">
      <w:pPr>
        <w:ind w:firstLine="432"/>
        <w:rPr>
          <w:rFonts w:eastAsia="Calibri" w:cs="Times New Roman"/>
          <w:szCs w:val="24"/>
          <w:lang w:eastAsia="ko-KR"/>
        </w:rPr>
      </w:pPr>
    </w:p>
    <w:p w14:paraId="3007AC2A" w14:textId="0E89470D" w:rsidR="00020930" w:rsidRDefault="00C21D59" w:rsidP="00EB5197">
      <w:pPr>
        <w:pStyle w:val="Heading1"/>
        <w:ind w:left="432" w:hanging="432"/>
      </w:pPr>
      <w:r>
        <w:t>METHOD</w:t>
      </w:r>
      <w:r w:rsidR="00A70E10">
        <w:t>OLOGY</w:t>
      </w:r>
    </w:p>
    <w:p w14:paraId="3C84998B" w14:textId="4982C382" w:rsidR="00634554" w:rsidRPr="004465BD" w:rsidRDefault="005E7919" w:rsidP="00EB5197">
      <w:r w:rsidRPr="004465BD">
        <w:t xml:space="preserve">The focus of the current study is to jointly model COVID-19 transmission and mobility trends. </w:t>
      </w:r>
      <w:r w:rsidR="00A60F7C" w:rsidRPr="004465BD">
        <w:t>The two</w:t>
      </w:r>
      <w:r w:rsidR="00D83BF5" w:rsidRPr="004465BD">
        <w:t xml:space="preserve"> dependent variables: </w:t>
      </w:r>
      <w:r w:rsidR="00B45B23" w:rsidRPr="004465BD">
        <w:t xml:space="preserve">(a) COVID-19 </w:t>
      </w:r>
      <w:r w:rsidR="00575933" w:rsidRPr="004465BD">
        <w:t xml:space="preserve">weekly </w:t>
      </w:r>
      <w:r w:rsidR="00B45B23" w:rsidRPr="004465BD">
        <w:t xml:space="preserve">transmission rate and (b) </w:t>
      </w:r>
      <w:r w:rsidR="00CA4B6F" w:rsidRPr="004465BD">
        <w:t xml:space="preserve">weekly </w:t>
      </w:r>
      <w:r w:rsidR="00920E49" w:rsidRPr="004465BD">
        <w:t>a</w:t>
      </w:r>
      <w:r w:rsidRPr="004465BD">
        <w:t xml:space="preserve">verage </w:t>
      </w:r>
      <w:r w:rsidR="00D83BF5" w:rsidRPr="004465BD">
        <w:t xml:space="preserve">mobility </w:t>
      </w:r>
      <w:r w:rsidR="00634554" w:rsidRPr="004465BD">
        <w:t xml:space="preserve">are continuous in nature and </w:t>
      </w:r>
      <w:r w:rsidRPr="004465BD">
        <w:t xml:space="preserve">lend themselves to a system of </w:t>
      </w:r>
      <w:r w:rsidR="00634554" w:rsidRPr="004465BD">
        <w:t>linear regression model</w:t>
      </w:r>
      <w:r w:rsidRPr="004465BD">
        <w:t>s</w:t>
      </w:r>
      <w:r w:rsidR="00634554" w:rsidRPr="004465BD">
        <w:t xml:space="preserve">. </w:t>
      </w:r>
      <w:r w:rsidRPr="004465BD">
        <w:t>T</w:t>
      </w:r>
      <w:r w:rsidR="001C7025" w:rsidRPr="004465BD">
        <w:t>he reader would note that we have repeated measures across each county (</w:t>
      </w:r>
      <w:r w:rsidR="007C2813" w:rsidRPr="004465BD">
        <w:t xml:space="preserve">T </w:t>
      </w:r>
      <w:r w:rsidR="00DB1682" w:rsidRPr="004465BD">
        <w:t>weeks</w:t>
      </w:r>
      <w:r w:rsidR="001C7025" w:rsidRPr="004465BD">
        <w:t xml:space="preserve"> for each county) and </w:t>
      </w:r>
      <w:r w:rsidRPr="004465BD">
        <w:t xml:space="preserve">the </w:t>
      </w:r>
      <w:r w:rsidR="001C7025" w:rsidRPr="004465BD">
        <w:t xml:space="preserve">traditional linear regression model is not appropriate to study data with such repeated observations </w:t>
      </w:r>
      <w:r w:rsidR="001C7025" w:rsidRPr="004465BD">
        <w:fldChar w:fldCharType="begin" w:fldLock="1"/>
      </w:r>
      <w:r w:rsidR="004968DA" w:rsidRPr="004465BD">
        <w:instrText>ADDIN CSL_CITATION {"citationItems":[{"id":"ITEM-1","itemData":{"DOI":"10.1016/j.jtrangeo.2014.01.013","ISSN":"09666923","abstract":"Installed in 2009, BIXI is the first major public bicycle-sharing system in Montreal, Canada. The BIXI system has been a success, accounting for more than one million trips annually. This success has increased the interest in exploring the factors affecting bicycle-sharing flows and usage. Using data compiled as minute-by-minute readings of bicycle availability at all the stations of the BIXI system between April and August 2012, this study contributes to the literature on bicycle-sharing. We examine the influence of meteorological data, temporal characteristics, bicycle infrastructure, land use and built environment attributes on arrival and departure flows at the station level using a multilevel approach to statistical modeling, which could easily be applied to other regions. The findings allow us to identify factors contributing to increased usage of bicycle-sharing in Montreal and to provide recommendations pertaining to station size and location decisions. The developed methodology and findings can be of benefit to city planners and engineers who are designing or modifying bicycle-sharing systems with the goal of maximizing usage and availability.","author":[{"dropping-particle":"","family":"Faghih-Imani","given":"Ahmadreza","non-dropping-particle":"","parse-names":false,"suffix":""},{"dropping-particle":"","family":"Eluru","given":"Naveen","non-dropping-particle":"","parse-names":false,"suffix":""},{"dropping-particle":"","family":"El-Geneidy","given":"Ahmed M.","non-dropping-particle":"","parse-names":false,"suffix":""},{"dropping-particle":"","family":"Rabbat","given":"Michael","non-dropping-particle":"","parse-names":false,"suffix":""},{"dropping-particle":"","family":"Haq","given":"Usama","non-dropping-particle":"","parse-names":false,"suffix":""}],"container-title":"Journal of Transport Geography","id":"ITEM-1","issued":{"date-parts":[["2014"]]},"page":"306-314","title":"How land-use and urban form impact bicycle flows: Evidence from the bicycle-sharing system (BIXI) in Montreal","type":"article-journal","volume":"41"},"uris":["http://www.mendeley.com/documents/?uuid=05842c30-2419-4bb6-9f6c-5199361fecf2"]},{"id":"ITEM-2","itemData":{"DOI":"10.1038/s41598-021-02376-y","ISSN":"20452322","PMID":"34845301","abstract":"The sustained COVID-19 case numbers and the associated hospitalizations have placed a substantial burden on health care ecosystem comprising of hospitals, clinics, doctors and nurses. However, as of today, only a small number of studies have examined detailed hospitalization data from a planning perspective. The current study develops a comprehensive framework for understanding the critical factors associated with county level hospitalization and ICU usage rates across the US employing a host of independent variables. Drawing from the recently released Department of Health and Human Services weekly hospitalization data, we study the overall hospitalization and ICU usage—not only COVID-19 hospitalizations. Developing a framework that examines overall hospitalizations and ICU usage can better reflect the plausible hospital system recovery path to pre-COVID level hospitalization trends. The models are subsequently employed to generate predictions for county level hospitalization and ICU usage rates in the future under several COVID-19 transmission scenarios considering the emergence of new COVID-19 variants and vaccination rates. The exercise allows us to identify vulnerable counties and regions under stress with high hospitalization and ICU rates that can be assisted with remedial measures. Further, the model will allow hospitals to understand evolving displaced non-COVID hospital demand.","author":[{"dropping-particle":"","family":"Bhowmik","given":"Tanmoy","non-dropping-particle":"","parse-names":false,"suffix":""},{"dropping-particle":"","family":"Eluru","given":"Naveen","non-dropping-particle":"","parse-names":false,"suffix":""}],"container-title":"Scientific Reports","id":"ITEM-2","issue":"1","issued":{"date-parts":[["2021"]]},"page":"23098","publisher":"Nature Publishing Group UK London","title":"A comprehensive county level model to identify factors affecting hospital capacity and predict future hospital demand","type":"article-journal","volume":"11"},"uris":["http://www.mendeley.com/documents/?uuid=c2aa1ab9-3b4f-4585-b5dd-e8395b5e121c"]}],"mendeley":{"formattedCitation":"(&lt;i&gt;18&lt;/i&gt;, &lt;i&gt;19&lt;/i&gt;)","plainTextFormattedCitation":"(18, 19)","previouslyFormattedCitation":"(&lt;i&gt;18&lt;/i&gt;, &lt;i&gt;19&lt;/i&gt;)"},"properties":{"noteIndex":0},"schema":"https://github.com/citation-style-language/schema/raw/master/csl-citation.json"}</w:instrText>
      </w:r>
      <w:r w:rsidR="001C7025" w:rsidRPr="004465BD">
        <w:fldChar w:fldCharType="separate"/>
      </w:r>
      <w:r w:rsidR="003A5A4F" w:rsidRPr="004465BD">
        <w:rPr>
          <w:noProof/>
        </w:rPr>
        <w:t>(</w:t>
      </w:r>
      <w:r w:rsidR="003A5A4F" w:rsidRPr="004465BD">
        <w:rPr>
          <w:i/>
          <w:noProof/>
        </w:rPr>
        <w:t>18</w:t>
      </w:r>
      <w:r w:rsidR="003A5A4F" w:rsidRPr="004465BD">
        <w:rPr>
          <w:noProof/>
        </w:rPr>
        <w:t xml:space="preserve">, </w:t>
      </w:r>
      <w:r w:rsidR="003A5A4F" w:rsidRPr="004465BD">
        <w:rPr>
          <w:i/>
          <w:noProof/>
        </w:rPr>
        <w:t>19</w:t>
      </w:r>
      <w:r w:rsidR="003A5A4F" w:rsidRPr="004465BD">
        <w:rPr>
          <w:noProof/>
        </w:rPr>
        <w:t>)</w:t>
      </w:r>
      <w:r w:rsidR="001C7025" w:rsidRPr="004465BD">
        <w:fldChar w:fldCharType="end"/>
      </w:r>
      <w:r w:rsidR="001C7025" w:rsidRPr="004465BD">
        <w:t>.</w:t>
      </w:r>
      <w:r w:rsidR="00225924" w:rsidRPr="004465BD">
        <w:t xml:space="preserve"> </w:t>
      </w:r>
      <w:r w:rsidR="000E56B0" w:rsidRPr="004465BD">
        <w:t xml:space="preserve">Hence, we employ a </w:t>
      </w:r>
      <w:r w:rsidR="00225924" w:rsidRPr="004465BD">
        <w:t xml:space="preserve">joint </w:t>
      </w:r>
      <w:r w:rsidR="000E56B0" w:rsidRPr="004465BD">
        <w:t xml:space="preserve">linear mixed modeling approach that builds on the linear regression model while incorporating the influence of repeated observations from the same </w:t>
      </w:r>
      <w:r w:rsidR="00D87673" w:rsidRPr="004465BD">
        <w:t>county</w:t>
      </w:r>
      <w:r w:rsidR="00225924" w:rsidRPr="004465BD">
        <w:t xml:space="preserve"> as well as </w:t>
      </w:r>
      <w:proofErr w:type="gramStart"/>
      <w:r w:rsidR="00225924" w:rsidRPr="004465BD">
        <w:t>captures</w:t>
      </w:r>
      <w:proofErr w:type="gramEnd"/>
      <w:r w:rsidR="00225924" w:rsidRPr="004465BD">
        <w:t xml:space="preserve"> the </w:t>
      </w:r>
      <w:r w:rsidR="00F70AE5" w:rsidRPr="004465BD">
        <w:t xml:space="preserve">simultaneity </w:t>
      </w:r>
      <w:r w:rsidR="00225924" w:rsidRPr="004465BD">
        <w:t>between the two dependent variables</w:t>
      </w:r>
      <w:r w:rsidR="000E56B0" w:rsidRPr="004465BD">
        <w:t>.</w:t>
      </w:r>
      <w:r w:rsidR="00C81B4E" w:rsidRPr="004465BD">
        <w:t xml:space="preserve"> </w:t>
      </w:r>
      <w:r w:rsidR="00936224" w:rsidRPr="004465BD">
        <w:t xml:space="preserve">A </w:t>
      </w:r>
      <w:r w:rsidR="00F92D00" w:rsidRPr="004465BD">
        <w:t>brief</w:t>
      </w:r>
      <w:r w:rsidR="00936224" w:rsidRPr="004465BD">
        <w:t xml:space="preserve"> description of the </w:t>
      </w:r>
      <w:r w:rsidR="00443506" w:rsidRPr="004465BD">
        <w:t xml:space="preserve">proposed simultaneous panel </w:t>
      </w:r>
      <w:r w:rsidR="00F92D00" w:rsidRPr="004465BD">
        <w:t>linear</w:t>
      </w:r>
      <w:r w:rsidR="00936224" w:rsidRPr="004465BD">
        <w:t xml:space="preserve"> mixed model is provided below:</w:t>
      </w:r>
    </w:p>
    <w:p w14:paraId="72D0714F" w14:textId="3D8ECA8E" w:rsidR="008368B8" w:rsidRPr="004465BD" w:rsidRDefault="00C57671" w:rsidP="00EB5197">
      <w:pPr>
        <w:ind w:firstLine="432"/>
      </w:pPr>
      <w:r w:rsidRPr="004465BD">
        <w:t xml:space="preserve">Let </w:t>
      </w:r>
      <w:r w:rsidRPr="004465BD">
        <w:rPr>
          <w:i/>
        </w:rPr>
        <w:t>q = 1, 2, …, Q</w:t>
      </w:r>
      <w:r w:rsidR="007C2813" w:rsidRPr="004465BD">
        <w:rPr>
          <w:i/>
        </w:rPr>
        <w:t xml:space="preserve"> (Q =</w:t>
      </w:r>
      <w:r w:rsidR="00874213" w:rsidRPr="004465BD">
        <w:rPr>
          <w:i/>
        </w:rPr>
        <w:t>1,755</w:t>
      </w:r>
      <w:r w:rsidR="007C2813" w:rsidRPr="004465BD">
        <w:rPr>
          <w:i/>
        </w:rPr>
        <w:t>)</w:t>
      </w:r>
      <w:r w:rsidRPr="004465BD">
        <w:t xml:space="preserve"> be an index to represent each </w:t>
      </w:r>
      <w:r w:rsidR="008368B8" w:rsidRPr="004465BD">
        <w:t>county</w:t>
      </w:r>
      <w:r w:rsidRPr="004465BD">
        <w:t xml:space="preserve">, </w:t>
      </w:r>
      <w:r w:rsidR="008368B8" w:rsidRPr="004465BD">
        <w:t xml:space="preserve">and </w:t>
      </w:r>
      <w:r w:rsidR="00963ABE" w:rsidRPr="004465BD">
        <w:rPr>
          <w:i/>
        </w:rPr>
        <w:t>t</w:t>
      </w:r>
      <w:r w:rsidRPr="004465BD">
        <w:rPr>
          <w:i/>
        </w:rPr>
        <w:t xml:space="preserve"> = 1, 2, …, </w:t>
      </w:r>
      <w:r w:rsidR="00963ABE" w:rsidRPr="004465BD">
        <w:rPr>
          <w:i/>
        </w:rPr>
        <w:t>T</w:t>
      </w:r>
      <w:r w:rsidR="007C2813" w:rsidRPr="004465BD">
        <w:rPr>
          <w:i/>
        </w:rPr>
        <w:t xml:space="preserve"> (T =</w:t>
      </w:r>
      <w:r w:rsidR="00442101" w:rsidRPr="004465BD">
        <w:rPr>
          <w:i/>
        </w:rPr>
        <w:t>74</w:t>
      </w:r>
      <w:r w:rsidR="007C2813" w:rsidRPr="004465BD">
        <w:rPr>
          <w:i/>
        </w:rPr>
        <w:t>)</w:t>
      </w:r>
      <w:r w:rsidRPr="004465BD">
        <w:t xml:space="preserve"> be an index to represent the </w:t>
      </w:r>
      <w:r w:rsidR="00443506" w:rsidRPr="004465BD">
        <w:t xml:space="preserve">weeks </w:t>
      </w:r>
      <w:r w:rsidR="007C2813" w:rsidRPr="004465BD">
        <w:t>for</w:t>
      </w:r>
      <w:r w:rsidRPr="004465BD">
        <w:t xml:space="preserve"> which data</w:t>
      </w:r>
      <w:r w:rsidR="008368B8" w:rsidRPr="004465BD">
        <w:t xml:space="preserve"> (cases</w:t>
      </w:r>
      <w:r w:rsidR="00225924" w:rsidRPr="004465BD">
        <w:t xml:space="preserve"> and </w:t>
      </w:r>
      <w:r w:rsidR="00742333" w:rsidRPr="004465BD">
        <w:t>mobility</w:t>
      </w:r>
      <w:r w:rsidR="008368B8" w:rsidRPr="004465BD">
        <w:t>)</w:t>
      </w:r>
      <w:r w:rsidRPr="004465BD">
        <w:t xml:space="preserve"> was collected</w:t>
      </w:r>
      <w:r w:rsidR="008368B8" w:rsidRPr="004465BD">
        <w:t xml:space="preserve">. </w:t>
      </w:r>
      <w:r w:rsidR="00930BEB" w:rsidRPr="004465BD">
        <w:t xml:space="preserve">The general form of the </w:t>
      </w:r>
      <w:r w:rsidR="00225924" w:rsidRPr="004465BD">
        <w:t xml:space="preserve">joint </w:t>
      </w:r>
      <w:r w:rsidR="00930BEB" w:rsidRPr="004465BD">
        <w:t>mixed linear regression model has the following structure:</w:t>
      </w:r>
    </w:p>
    <w:p w14:paraId="5F8CFE47" w14:textId="77777777" w:rsidR="007C2813" w:rsidRPr="004465BD" w:rsidRDefault="007C2813" w:rsidP="00EB5197">
      <w:pPr>
        <w:ind w:firstLine="432"/>
      </w:pPr>
    </w:p>
    <w:p w14:paraId="38A09F47" w14:textId="4D1E7FA9" w:rsidR="00930BEB" w:rsidRPr="004465BD" w:rsidRDefault="00000000" w:rsidP="00EB5197">
      <w:pPr>
        <w:rPr>
          <w:rFonts w:eastAsiaTheme="minorEastAsia"/>
        </w:rPr>
      </w:pPr>
      <m:oMath>
        <m:sSubSup>
          <m:sSubSupPr>
            <m:ctrlPr>
              <w:rPr>
                <w:rFonts w:ascii="Cambria Math" w:hAnsi="Cambria Math"/>
                <w:i/>
              </w:rPr>
            </m:ctrlPr>
          </m:sSubSupPr>
          <m:e>
            <m:r>
              <w:rPr>
                <w:rFonts w:ascii="Cambria Math" w:hAnsi="Cambria Math"/>
              </w:rPr>
              <m:t>y</m:t>
            </m:r>
          </m:e>
          <m:sub>
            <m:r>
              <w:rPr>
                <w:rFonts w:ascii="Cambria Math" w:hAnsi="Cambria Math"/>
              </w:rPr>
              <m:t>qt</m:t>
            </m:r>
          </m:sub>
          <m:sup>
            <m:r>
              <w:rPr>
                <w:rFonts w:ascii="Cambria Math" w:hAnsi="Cambria Math"/>
              </w:rPr>
              <m:t>*</m:t>
            </m:r>
          </m:sup>
        </m:sSubSup>
        <m:r>
          <w:rPr>
            <w:rFonts w:ascii="Cambria Math" w:hAnsi="Cambria Math"/>
          </w:rPr>
          <m:t>= αX+ ρ</m:t>
        </m:r>
        <m:sSub>
          <m:sSubPr>
            <m:ctrlPr>
              <w:rPr>
                <w:rFonts w:ascii="Cambria Math" w:hAnsi="Cambria Math"/>
                <w:i/>
              </w:rPr>
            </m:ctrlPr>
          </m:sSubPr>
          <m:e>
            <m:r>
              <w:rPr>
                <w:rFonts w:ascii="Cambria Math" w:hAnsi="Cambria Math"/>
              </w:rPr>
              <m:t>c</m:t>
            </m:r>
          </m:e>
          <m:sub>
            <m:r>
              <w:rPr>
                <w:rFonts w:ascii="Cambria Math" w:hAnsi="Cambria Math"/>
              </w:rPr>
              <m:t>qt</m:t>
            </m:r>
          </m:sub>
        </m:sSub>
        <m:r>
          <w:rPr>
            <w:rFonts w:ascii="Cambria Math" w:hAnsi="Cambria Math"/>
          </w:rPr>
          <m:t>+</m:t>
        </m:r>
        <m:sSub>
          <m:sSubPr>
            <m:ctrlPr>
              <w:rPr>
                <w:rFonts w:ascii="Cambria Math" w:eastAsia="Times New Roman" w:hAnsi="Cambria Math" w:cs="Times New Roman"/>
                <w:bCs/>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q</m:t>
            </m:r>
          </m:sub>
        </m:sSub>
        <m:r>
          <m:rPr>
            <m:sty m:val="bi"/>
          </m:rPr>
          <w:rPr>
            <w:rFonts w:ascii="Cambria Math" w:eastAsia="Times New Roman" w:hAnsi="Cambria Math" w:cs="Times New Roman"/>
            <w:szCs w:val="24"/>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qt</m:t>
            </m:r>
          </m:sub>
        </m:sSub>
        <m:r>
          <w:rPr>
            <w:rFonts w:ascii="Cambria Math" w:eastAsia="Times New Roman" w:hAnsi="Cambria Math" w:cs="Times New Roman"/>
            <w:szCs w:val="24"/>
          </w:rPr>
          <m:t>+</m:t>
        </m:r>
        <m:sSub>
          <m:sSubPr>
            <m:ctrlPr>
              <w:rPr>
                <w:rFonts w:ascii="Cambria Math" w:hAnsi="Cambria Math"/>
                <w:i/>
              </w:rPr>
            </m:ctrlPr>
          </m:sSubPr>
          <m:e>
            <m:r>
              <w:rPr>
                <w:rFonts w:ascii="Cambria Math" w:hAnsi="Cambria Math"/>
              </w:rPr>
              <m:t>ε</m:t>
            </m:r>
          </m:e>
          <m:sub>
            <m:r>
              <w:rPr>
                <w:rFonts w:ascii="Cambria Math" w:hAnsi="Cambria Math"/>
              </w:rPr>
              <m:t>q</m:t>
            </m:r>
          </m:sub>
        </m:sSub>
        <m:r>
          <m:rPr>
            <m:sty m:val="p"/>
          </m:rPr>
          <w:rPr>
            <w:rFonts w:ascii="Cambria Math" w:eastAsiaTheme="minorEastAsia" w:hAnsi="Cambria Math"/>
          </w:rPr>
          <m:t xml:space="preserve">+ </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ξ</m:t>
            </m:r>
          </m:e>
          <m:sub>
            <m:r>
              <w:rPr>
                <w:rFonts w:ascii="Cambria Math" w:eastAsia="Times New Roman" w:hAnsi="Cambria Math" w:cs="Times New Roman"/>
                <w:szCs w:val="24"/>
              </w:rPr>
              <m:t>qt</m:t>
            </m:r>
          </m:sub>
        </m:sSub>
      </m:oMath>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t xml:space="preserve">       (1)</w:t>
      </w:r>
    </w:p>
    <w:p w14:paraId="32994B2B" w14:textId="6EC37ED1" w:rsidR="00225924" w:rsidRPr="004465BD" w:rsidRDefault="00000000" w:rsidP="00EB5197">
      <m:oMath>
        <m:sSubSup>
          <m:sSubSupPr>
            <m:ctrlPr>
              <w:rPr>
                <w:rFonts w:ascii="Cambria Math" w:hAnsi="Cambria Math"/>
                <w:i/>
              </w:rPr>
            </m:ctrlPr>
          </m:sSubSupPr>
          <m:e>
            <m:r>
              <w:rPr>
                <w:rFonts w:ascii="Cambria Math" w:hAnsi="Cambria Math"/>
              </w:rPr>
              <m:t>z</m:t>
            </m:r>
          </m:e>
          <m:sub>
            <m:r>
              <w:rPr>
                <w:rFonts w:ascii="Cambria Math" w:hAnsi="Cambria Math"/>
              </w:rPr>
              <m:t>qt</m:t>
            </m:r>
          </m:sub>
          <m:sup>
            <m:r>
              <w:rPr>
                <w:rFonts w:ascii="Cambria Math" w:hAnsi="Cambria Math"/>
              </w:rPr>
              <m:t>*</m:t>
            </m:r>
          </m:sup>
        </m:sSubSup>
        <m:r>
          <w:rPr>
            <w:rFonts w:ascii="Cambria Math" w:hAnsi="Cambria Math"/>
          </w:rPr>
          <m:t>= βX+ n</m:t>
        </m:r>
        <m:sSub>
          <m:sSubPr>
            <m:ctrlPr>
              <w:rPr>
                <w:rFonts w:ascii="Cambria Math" w:hAnsi="Cambria Math"/>
                <w:i/>
              </w:rPr>
            </m:ctrlPr>
          </m:sSubPr>
          <m:e>
            <m:r>
              <w:rPr>
                <w:rFonts w:ascii="Cambria Math" w:hAnsi="Cambria Math"/>
              </w:rPr>
              <m:t>v</m:t>
            </m:r>
          </m:e>
          <m:sub>
            <m:r>
              <w:rPr>
                <w:rFonts w:ascii="Cambria Math" w:hAnsi="Cambria Math"/>
              </w:rPr>
              <m:t>qt</m:t>
            </m:r>
          </m:sub>
        </m:sSub>
        <m:r>
          <w:rPr>
            <w:rFonts w:ascii="Cambria Math" w:hAnsi="Cambria Math"/>
          </w:rPr>
          <m:t>+</m:t>
        </m:r>
        <m:sSub>
          <m:sSubPr>
            <m:ctrlPr>
              <w:rPr>
                <w:rFonts w:ascii="Cambria Math" w:hAnsi="Cambria Math"/>
                <w:i/>
              </w:rPr>
            </m:ctrlPr>
          </m:sSubPr>
          <m:e>
            <m:sSub>
              <m:sSubPr>
                <m:ctrlPr>
                  <w:rPr>
                    <w:rFonts w:ascii="Cambria Math" w:eastAsia="Times New Roman" w:hAnsi="Cambria Math" w:cs="Times New Roman"/>
                    <w:i/>
                    <w:szCs w:val="24"/>
                  </w:rPr>
                </m:ctrlPr>
              </m:sSubPr>
              <m:e>
                <m:sSub>
                  <m:sSubPr>
                    <m:ctrlPr>
                      <w:rPr>
                        <w:rFonts w:ascii="Cambria Math" w:eastAsia="Times New Roman" w:hAnsi="Cambria Math" w:cs="Times New Roman"/>
                        <w:bCs/>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q</m:t>
                    </m:r>
                  </m:sub>
                </m:sSub>
                <m:r>
                  <w:rPr>
                    <w:rFonts w:ascii="Cambria Math" w:eastAsia="Times New Roman" w:hAnsi="Cambria Math" w:cs="Times New Roman"/>
                    <w:szCs w:val="24"/>
                  </w:rPr>
                  <m:t>+ η</m:t>
                </m:r>
              </m:e>
              <m:sub>
                <m:r>
                  <w:rPr>
                    <w:rFonts w:ascii="Cambria Math" w:eastAsia="Times New Roman" w:hAnsi="Cambria Math" w:cs="Times New Roman"/>
                    <w:szCs w:val="24"/>
                  </w:rPr>
                  <m:t>qt</m:t>
                </m:r>
              </m:sub>
            </m:sSub>
            <m:r>
              <w:rPr>
                <w:rFonts w:ascii="Cambria Math" w:hAnsi="Cambria Math"/>
              </w:rPr>
              <m:t>+τ</m:t>
            </m:r>
          </m:e>
          <m:sub>
            <m:r>
              <w:rPr>
                <w:rFonts w:ascii="Cambria Math" w:hAnsi="Cambria Math"/>
              </w:rPr>
              <m:t>q</m:t>
            </m:r>
          </m:sub>
        </m:sSub>
        <m:r>
          <w:rPr>
            <w:rFonts w:ascii="Cambria Math" w:hAnsi="Cambria Math"/>
          </w:rPr>
          <m:t>+</m:t>
        </m:r>
        <m:sSub>
          <m:sSubPr>
            <m:ctrlPr>
              <w:rPr>
                <w:rFonts w:ascii="Cambria Math" w:eastAsia="Times New Roman" w:hAnsi="Cambria Math" w:cs="Times New Roman"/>
                <w:i/>
                <w:szCs w:val="24"/>
              </w:rPr>
            </m:ctrlPr>
          </m:sSubPr>
          <m:e>
            <m:r>
              <w:rPr>
                <w:rFonts w:ascii="Cambria Math" w:eastAsia="Times New Roman" w:hAnsi="Cambria Math" w:cs="Times New Roman"/>
                <w:szCs w:val="24"/>
              </w:rPr>
              <m:t>ε</m:t>
            </m:r>
          </m:e>
          <m:sub>
            <m:r>
              <w:rPr>
                <w:rFonts w:ascii="Cambria Math" w:eastAsia="Times New Roman" w:hAnsi="Cambria Math" w:cs="Times New Roman"/>
                <w:szCs w:val="24"/>
              </w:rPr>
              <m:t>qt</m:t>
            </m:r>
          </m:sub>
        </m:sSub>
      </m:oMath>
      <w:r w:rsidR="007A3E07" w:rsidRPr="004465BD">
        <w:rPr>
          <w:rFonts w:eastAsiaTheme="minorEastAsia"/>
        </w:rPr>
        <w:t xml:space="preserve">    </w:t>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r>
      <w:r w:rsidR="007A3E07" w:rsidRPr="004465BD">
        <w:rPr>
          <w:rFonts w:eastAsiaTheme="minorEastAsia"/>
        </w:rPr>
        <w:tab/>
        <w:t xml:space="preserve">       (2)</w:t>
      </w:r>
    </w:p>
    <w:p w14:paraId="6E8983DD" w14:textId="0E9210F5" w:rsidR="00E55547" w:rsidRPr="004465BD" w:rsidRDefault="0041671F" w:rsidP="00EB5197">
      <w:r w:rsidRPr="004465BD">
        <w:t>w</w:t>
      </w:r>
      <w:r w:rsidR="00930BEB" w:rsidRPr="004465BD">
        <w:t xml:space="preserve">here </w:t>
      </w:r>
      <m:oMath>
        <m:sSubSup>
          <m:sSubSupPr>
            <m:ctrlPr>
              <w:rPr>
                <w:rFonts w:ascii="Cambria Math" w:hAnsi="Cambria Math"/>
                <w:i/>
              </w:rPr>
            </m:ctrlPr>
          </m:sSubSupPr>
          <m:e>
            <m:r>
              <w:rPr>
                <w:rFonts w:ascii="Cambria Math" w:hAnsi="Cambria Math"/>
              </w:rPr>
              <m:t>y</m:t>
            </m:r>
          </m:e>
          <m:sub>
            <m:r>
              <w:rPr>
                <w:rFonts w:ascii="Cambria Math" w:hAnsi="Cambria Math"/>
              </w:rPr>
              <m:t>qt</m:t>
            </m:r>
          </m:sub>
          <m:sup>
            <m:r>
              <w:rPr>
                <w:rFonts w:ascii="Cambria Math" w:hAnsi="Cambria Math"/>
              </w:rPr>
              <m:t>*</m:t>
            </m:r>
          </m:sup>
        </m:sSubSup>
      </m:oMath>
      <w:r w:rsidR="00930BEB" w:rsidRPr="004465BD">
        <w:rPr>
          <w:rFonts w:eastAsiaTheme="minorEastAsia"/>
        </w:rPr>
        <w:t xml:space="preserve"> is the </w:t>
      </w:r>
      <w:r w:rsidR="001F125D" w:rsidRPr="004465BD">
        <w:rPr>
          <w:rFonts w:eastAsiaTheme="minorEastAsia"/>
        </w:rPr>
        <w:t xml:space="preserve">first </w:t>
      </w:r>
      <w:r w:rsidR="00930BEB" w:rsidRPr="004465BD">
        <w:rPr>
          <w:rFonts w:eastAsiaTheme="minorEastAsia"/>
        </w:rPr>
        <w:t>dependent variable representing the new COVID 19 cases per 100K population</w:t>
      </w:r>
      <w:r w:rsidR="00486BCB" w:rsidRPr="004465BD">
        <w:rPr>
          <w:rFonts w:eastAsiaTheme="minorEastAsia"/>
        </w:rPr>
        <w:t xml:space="preserve"> per week</w:t>
      </w:r>
      <w:r w:rsidR="00930BEB" w:rsidRPr="004465BD">
        <w:rPr>
          <w:rFonts w:eastAsiaTheme="minorEastAsia"/>
        </w:rPr>
        <w:t xml:space="preserve">, </w:t>
      </w:r>
      <w:r w:rsidR="001F125D" w:rsidRPr="004465BD">
        <w:rPr>
          <w:rFonts w:eastAsiaTheme="minorEastAsia"/>
        </w:rPr>
        <w:t xml:space="preserve">and </w:t>
      </w:r>
      <m:oMath>
        <m:sSubSup>
          <m:sSubSupPr>
            <m:ctrlPr>
              <w:rPr>
                <w:rFonts w:ascii="Cambria Math" w:hAnsi="Cambria Math"/>
                <w:i/>
              </w:rPr>
            </m:ctrlPr>
          </m:sSubSupPr>
          <m:e>
            <m:r>
              <w:rPr>
                <w:rFonts w:ascii="Cambria Math" w:hAnsi="Cambria Math"/>
              </w:rPr>
              <m:t>z</m:t>
            </m:r>
          </m:e>
          <m:sub>
            <m:r>
              <w:rPr>
                <w:rFonts w:ascii="Cambria Math" w:hAnsi="Cambria Math"/>
              </w:rPr>
              <m:t>qt</m:t>
            </m:r>
          </m:sub>
          <m:sup>
            <m:r>
              <w:rPr>
                <w:rFonts w:ascii="Cambria Math" w:hAnsi="Cambria Math"/>
              </w:rPr>
              <m:t>*</m:t>
            </m:r>
          </m:sup>
        </m:sSubSup>
      </m:oMath>
      <w:r w:rsidR="001F125D" w:rsidRPr="004465BD">
        <w:rPr>
          <w:rFonts w:eastAsiaTheme="minorEastAsia"/>
        </w:rPr>
        <w:t xml:space="preserve"> </w:t>
      </w:r>
      <w:r w:rsidR="005E2700" w:rsidRPr="004465BD">
        <w:rPr>
          <w:rFonts w:eastAsiaTheme="minorEastAsia"/>
        </w:rPr>
        <w:t xml:space="preserve">represents the </w:t>
      </w:r>
      <w:r w:rsidR="00CD2979" w:rsidRPr="004465BD">
        <w:rPr>
          <w:rFonts w:eastAsiaTheme="minorEastAsia"/>
        </w:rPr>
        <w:t>weekly</w:t>
      </w:r>
      <w:r w:rsidR="005E2700" w:rsidRPr="004465BD">
        <w:rPr>
          <w:rFonts w:eastAsiaTheme="minorEastAsia"/>
        </w:rPr>
        <w:t xml:space="preserve"> average </w:t>
      </w:r>
      <w:r w:rsidR="00742333" w:rsidRPr="004465BD">
        <w:t>mobility</w:t>
      </w:r>
      <w:r w:rsidR="00742333" w:rsidRPr="004465BD">
        <w:rPr>
          <w:rFonts w:eastAsiaTheme="minorEastAsia"/>
        </w:rPr>
        <w:t xml:space="preserve"> </w:t>
      </w:r>
      <w:r w:rsidR="005E2700" w:rsidRPr="004465BD">
        <w:rPr>
          <w:rFonts w:eastAsiaTheme="minorEastAsia"/>
        </w:rPr>
        <w:t xml:space="preserve">at a county level. </w:t>
      </w:r>
      <m:oMath>
        <m:r>
          <w:rPr>
            <w:rFonts w:ascii="Cambria Math" w:hAnsi="Cambria Math"/>
          </w:rPr>
          <m:t>X</m:t>
        </m:r>
      </m:oMath>
      <w:r w:rsidR="003352D1" w:rsidRPr="004465BD">
        <w:rPr>
          <w:rFonts w:eastAsiaTheme="minorEastAsia"/>
        </w:rPr>
        <w:t xml:space="preserve"> is the vector of </w:t>
      </w:r>
      <w:r w:rsidR="00E30807" w:rsidRPr="004465BD">
        <w:rPr>
          <w:rFonts w:eastAsiaTheme="minorEastAsia"/>
        </w:rPr>
        <w:t>independent variables</w:t>
      </w:r>
      <w:r w:rsidR="003352D1" w:rsidRPr="004465BD">
        <w:rPr>
          <w:rFonts w:eastAsiaTheme="minorEastAsia"/>
        </w:rPr>
        <w:t>.</w:t>
      </w:r>
      <w:r w:rsidR="005908BA" w:rsidRPr="004465BD">
        <w:rPr>
          <w:rFonts w:eastAsiaTheme="minorEastAsia"/>
        </w:rPr>
        <w:t xml:space="preserve"> </w:t>
      </w:r>
      <w:r w:rsidR="00482A17" w:rsidRPr="004465BD">
        <w:rPr>
          <w:rFonts w:eastAsiaTheme="minorEastAsia"/>
        </w:rPr>
        <w:t xml:space="preserve">As </w:t>
      </w:r>
      <w:r w:rsidR="001268BB" w:rsidRPr="004465BD">
        <w:rPr>
          <w:rFonts w:eastAsiaTheme="minorEastAsia"/>
        </w:rPr>
        <w:t>consistent with earlier studies</w:t>
      </w:r>
      <w:r w:rsidR="005022AD" w:rsidRPr="004465BD">
        <w:rPr>
          <w:rFonts w:eastAsiaTheme="minorEastAsia"/>
        </w:rPr>
        <w:t xml:space="preserve"> </w:t>
      </w:r>
      <w:r w:rsidR="005022AD" w:rsidRPr="004465BD">
        <w:rPr>
          <w:rFonts w:eastAsiaTheme="minorEastAsia"/>
        </w:rPr>
        <w:fldChar w:fldCharType="begin" w:fldLock="1"/>
      </w:r>
      <w:r w:rsidR="004968DA" w:rsidRPr="004465BD">
        <w:rPr>
          <w:rFonts w:eastAsiaTheme="minorEastAsia"/>
        </w:rPr>
        <w:instrText>ADDIN CSL_CITATION {"citationItems":[{"id":"ITEM-1","itemData":{"DOI":"10.1038/s41598-021-02376-y","ISSN":"20452322","PMID":"34845301","abstract":"The sustained COVID-19 case numbers and the associated hospitalizations have placed a substantial burden on health care ecosystem comprising of hospitals, clinics, doctors and nurses. However, as of today, only a small number of studies have examined detailed hospitalization data from a planning perspective. The current study develops a comprehensive framework for understanding the critical factors associated with county level hospitalization and ICU usage rates across the US employing a host of independent variables. Drawing from the recently released Department of Health and Human Services weekly hospitalization data, we study the overall hospitalization and ICU usage—not only COVID-19 hospitalizations. Developing a framework that examines overall hospitalizations and ICU usage can better reflect the plausible hospital system recovery path to pre-COVID level hospitalization trends. The models are subsequently employed to generate predictions for county level hospitalization and ICU usage rates in the future under several COVID-19 transmission scenarios considering the emergence of new COVID-19 variants and vaccination rates. The exercise allows us to identify vulnerable counties and regions under stress with high hospitalization and ICU rates that can be assisted with remedial measures. Further, the model will allow hospitals to understand evolving displaced non-COVID hospital demand.","author":[{"dropping-particle":"","family":"Bhowmik","given":"Tanmoy","non-dropping-particle":"","parse-names":false,"suffix":""},{"dropping-particle":"","family":"Eluru","given":"Naveen","non-dropping-particle":"","parse-names":false,"suffix":""}],"container-title":"Scientific Reports","id":"ITEM-1","issue":"1","issued":{"date-parts":[["2021"]]},"page":"23098","publisher":"Nature Publishing Group UK London","title":"A comprehensive county level model to identify factors affecting hospital capacity and predict future hospital demand","type":"article-journal","volume":"11"},"uris":["http://www.mendeley.com/documents/?uuid=c2aa1ab9-3b4f-4585-b5dd-e8395b5e121c"]},{"id":"ITEM-2","itemData":{"DOI":"10.1371/journal.pone.0249133","ISSN":"19326203","PMID":"33793611","abstract":"Background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Methods and findings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33% in daily cases. Conclusions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Chandra","non-dropping-particle":"","parse-names":false,"suffix":""},{"dropping-particle":"","family":"Eluru","given":"Naveen","non-dropping-particle":"","parse-names":false,"suffix":""}],"container-title":"PLoS ONE","id":"ITEM-2","issue":"4 April","issued":{"date-parts":[["2021"]]},"title":"A comprehensive analysis of COVID-19 transmission and mortality rates at the county level in the United States considering socio-demographics, health indicators, mobility trends and health care infrastructure attributes","type":"article-journal","volume":"16"},"uris":["http://www.mendeley.com/documents/?uuid=f351c73a-be65-3c50-8c60-c2e9ac1a09ce"]}],"mendeley":{"formattedCitation":"(&lt;i&gt;19&lt;/i&gt;, &lt;i&gt;20&lt;/i&gt;)","plainTextFormattedCitation":"(19, 20)","previouslyFormattedCitation":"(&lt;i&gt;19&lt;/i&gt;, &lt;i&gt;20&lt;/i&gt;)"},"properties":{"noteIndex":0},"schema":"https://github.com/citation-style-language/schema/raw/master/csl-citation.json"}</w:instrText>
      </w:r>
      <w:r w:rsidR="005022AD" w:rsidRPr="004465BD">
        <w:rPr>
          <w:rFonts w:eastAsiaTheme="minorEastAsia"/>
        </w:rPr>
        <w:fldChar w:fldCharType="separate"/>
      </w:r>
      <w:r w:rsidR="003A5A4F" w:rsidRPr="004465BD">
        <w:rPr>
          <w:rFonts w:eastAsiaTheme="minorEastAsia"/>
          <w:noProof/>
        </w:rPr>
        <w:t>(</w:t>
      </w:r>
      <w:r w:rsidR="003A5A4F" w:rsidRPr="004465BD">
        <w:rPr>
          <w:rFonts w:eastAsiaTheme="minorEastAsia"/>
          <w:i/>
          <w:noProof/>
        </w:rPr>
        <w:t>19</w:t>
      </w:r>
      <w:r w:rsidR="003A5A4F" w:rsidRPr="004465BD">
        <w:rPr>
          <w:rFonts w:eastAsiaTheme="minorEastAsia"/>
          <w:noProof/>
        </w:rPr>
        <w:t xml:space="preserve">, </w:t>
      </w:r>
      <w:r w:rsidR="003A5A4F" w:rsidRPr="004465BD">
        <w:rPr>
          <w:rFonts w:eastAsiaTheme="minorEastAsia"/>
          <w:i/>
          <w:noProof/>
        </w:rPr>
        <w:t>20</w:t>
      </w:r>
      <w:r w:rsidR="003A5A4F" w:rsidRPr="004465BD">
        <w:rPr>
          <w:rFonts w:eastAsiaTheme="minorEastAsia"/>
          <w:noProof/>
        </w:rPr>
        <w:t>)</w:t>
      </w:r>
      <w:r w:rsidR="005022AD" w:rsidRPr="004465BD">
        <w:rPr>
          <w:rFonts w:eastAsiaTheme="minorEastAsia"/>
        </w:rPr>
        <w:fldChar w:fldCharType="end"/>
      </w:r>
      <w:r w:rsidR="00482A17" w:rsidRPr="004465BD">
        <w:rPr>
          <w:rFonts w:eastAsiaTheme="minorEastAsia"/>
        </w:rPr>
        <w:t xml:space="preserve">, we believe that </w:t>
      </w:r>
      <w:r w:rsidR="00742333" w:rsidRPr="004465BD">
        <w:t>mobility</w:t>
      </w:r>
      <w:r w:rsidR="00742333" w:rsidRPr="004465BD">
        <w:rPr>
          <w:rFonts w:cs="Times New Roman"/>
          <w:szCs w:val="24"/>
        </w:rPr>
        <w:t xml:space="preserve"> </w:t>
      </w:r>
      <w:r w:rsidR="00482A17" w:rsidRPr="004465BD">
        <w:rPr>
          <w:rFonts w:cs="Times New Roman"/>
          <w:szCs w:val="24"/>
        </w:rPr>
        <w:t xml:space="preserve">will have a lagged effect on COVID-19 transmission i.e. </w:t>
      </w:r>
      <w:r w:rsidR="00A67DE7" w:rsidRPr="004465BD">
        <w:rPr>
          <w:rFonts w:cs="Times New Roman"/>
          <w:szCs w:val="24"/>
        </w:rPr>
        <w:t xml:space="preserve">total </w:t>
      </w:r>
      <w:r w:rsidR="0056233D" w:rsidRPr="004465BD">
        <w:t>exposure</w:t>
      </w:r>
      <w:r w:rsidR="00322E6E" w:rsidRPr="004465BD">
        <w:rPr>
          <w:rFonts w:cs="Times New Roman"/>
          <w:szCs w:val="24"/>
        </w:rPr>
        <w:t xml:space="preserve"> </w:t>
      </w:r>
      <w:r w:rsidR="00482A17" w:rsidRPr="004465BD">
        <w:rPr>
          <w:rFonts w:cs="Times New Roman"/>
          <w:szCs w:val="24"/>
        </w:rPr>
        <w:t xml:space="preserve">to virus </w:t>
      </w:r>
      <w:r w:rsidR="00A67DE7" w:rsidRPr="004465BD">
        <w:rPr>
          <w:rFonts w:cs="Times New Roman"/>
          <w:szCs w:val="24"/>
        </w:rPr>
        <w:t>in the current week</w:t>
      </w:r>
      <w:r w:rsidR="00E31616" w:rsidRPr="004465BD">
        <w:rPr>
          <w:rFonts w:cs="Times New Roman"/>
          <w:szCs w:val="24"/>
        </w:rPr>
        <w:t xml:space="preserve"> </w:t>
      </w:r>
      <w:r w:rsidR="00482A17" w:rsidRPr="004465BD">
        <w:rPr>
          <w:rFonts w:cs="Times New Roman"/>
          <w:szCs w:val="24"/>
        </w:rPr>
        <w:t>is likely to manifest as case</w:t>
      </w:r>
      <w:r w:rsidR="00A67DE7" w:rsidRPr="004465BD">
        <w:rPr>
          <w:rFonts w:cs="Times New Roman"/>
          <w:szCs w:val="24"/>
        </w:rPr>
        <w:t>s</w:t>
      </w:r>
      <w:r w:rsidR="00482A17" w:rsidRPr="004465BD">
        <w:rPr>
          <w:rFonts w:cs="Times New Roman"/>
          <w:szCs w:val="24"/>
        </w:rPr>
        <w:t xml:space="preserve"> in the </w:t>
      </w:r>
      <w:r w:rsidR="00A67DE7" w:rsidRPr="004465BD">
        <w:rPr>
          <w:rFonts w:cs="Times New Roman"/>
          <w:szCs w:val="24"/>
        </w:rPr>
        <w:t>subsequent weeks.</w:t>
      </w:r>
      <w:r w:rsidR="00482A17" w:rsidRPr="004465BD">
        <w:rPr>
          <w:rFonts w:cs="Times New Roman"/>
          <w:szCs w:val="24"/>
        </w:rPr>
        <w:t xml:space="preserve"> Similarly, COVID-19 transmission will have a lagged effe</w:t>
      </w:r>
      <w:r w:rsidR="00407096" w:rsidRPr="004465BD">
        <w:rPr>
          <w:rFonts w:cs="Times New Roman"/>
          <w:szCs w:val="24"/>
        </w:rPr>
        <w:t>c</w:t>
      </w:r>
      <w:r w:rsidR="00482A17" w:rsidRPr="004465BD">
        <w:rPr>
          <w:rFonts w:cs="Times New Roman"/>
          <w:szCs w:val="24"/>
        </w:rPr>
        <w:t xml:space="preserve">t on the </w:t>
      </w:r>
      <w:r w:rsidR="00407096" w:rsidRPr="004465BD">
        <w:rPr>
          <w:rFonts w:cs="Times New Roman"/>
          <w:szCs w:val="24"/>
        </w:rPr>
        <w:t xml:space="preserve">weekly </w:t>
      </w:r>
      <w:r w:rsidR="00D252E4" w:rsidRPr="004465BD">
        <w:t>mobility</w:t>
      </w:r>
      <w:r w:rsidR="00D252E4" w:rsidRPr="004465BD">
        <w:rPr>
          <w:rFonts w:cs="Times New Roman"/>
          <w:szCs w:val="24"/>
        </w:rPr>
        <w:t xml:space="preserve"> </w:t>
      </w:r>
      <w:r w:rsidR="00482A17" w:rsidRPr="004465BD">
        <w:rPr>
          <w:rFonts w:cs="Times New Roman"/>
          <w:szCs w:val="24"/>
        </w:rPr>
        <w:t xml:space="preserve">into the future </w:t>
      </w:r>
      <w:r w:rsidR="0096063A" w:rsidRPr="004465BD">
        <w:rPr>
          <w:rFonts w:cs="Times New Roman"/>
          <w:szCs w:val="24"/>
        </w:rPr>
        <w:t xml:space="preserve">weeks </w:t>
      </w:r>
      <w:r w:rsidR="00482A17" w:rsidRPr="004465BD">
        <w:rPr>
          <w:rFonts w:cs="Times New Roman"/>
          <w:szCs w:val="24"/>
        </w:rPr>
        <w:t>(</w:t>
      </w:r>
      <w:r w:rsidR="00B408A9" w:rsidRPr="004465BD">
        <w:rPr>
          <w:rFonts w:cs="Times New Roman"/>
          <w:szCs w:val="24"/>
        </w:rPr>
        <w:t>1 or 2</w:t>
      </w:r>
      <w:r w:rsidR="0096063A" w:rsidRPr="004465BD">
        <w:rPr>
          <w:rFonts w:cs="Times New Roman"/>
          <w:szCs w:val="24"/>
        </w:rPr>
        <w:t xml:space="preserve"> week</w:t>
      </w:r>
      <w:r w:rsidR="0095731E" w:rsidRPr="004465BD">
        <w:rPr>
          <w:rFonts w:cs="Times New Roman"/>
          <w:szCs w:val="24"/>
        </w:rPr>
        <w:t>s</w:t>
      </w:r>
      <w:r w:rsidR="00482A17" w:rsidRPr="004465BD">
        <w:rPr>
          <w:rFonts w:cs="Times New Roman"/>
          <w:szCs w:val="24"/>
        </w:rPr>
        <w:t xml:space="preserve">). </w:t>
      </w:r>
      <w:r w:rsidR="00242988" w:rsidRPr="004465BD">
        <w:rPr>
          <w:rFonts w:cs="Times New Roman"/>
          <w:szCs w:val="24"/>
        </w:rPr>
        <w:t xml:space="preserve">In our analysis, we will test for different lag variables for both COVID-19 transmission and mobility including 1-week, 2-week, 3-week, and 4-week lags. The lag variables (lag </w:t>
      </w:r>
      <w:r w:rsidR="00242988" w:rsidRPr="004465BD">
        <w:t>mobility</w:t>
      </w:r>
      <w:r w:rsidR="00242988" w:rsidRPr="004465BD">
        <w:rPr>
          <w:rFonts w:eastAsiaTheme="minorEastAsia"/>
        </w:rPr>
        <w:t xml:space="preserve"> indicated by the </w:t>
      </w:r>
      <m:oMath>
        <m:sSub>
          <m:sSubPr>
            <m:ctrlPr>
              <w:rPr>
                <w:rFonts w:ascii="Cambria Math" w:hAnsi="Cambria Math"/>
                <w:i/>
              </w:rPr>
            </m:ctrlPr>
          </m:sSubPr>
          <m:e>
            <m:r>
              <w:rPr>
                <w:rFonts w:ascii="Cambria Math" w:hAnsi="Cambria Math"/>
              </w:rPr>
              <m:t>c</m:t>
            </m:r>
          </m:e>
          <m:sub>
            <m:r>
              <w:rPr>
                <w:rFonts w:ascii="Cambria Math" w:hAnsi="Cambria Math"/>
              </w:rPr>
              <m:t>qt</m:t>
            </m:r>
          </m:sub>
        </m:sSub>
      </m:oMath>
      <w:r w:rsidR="00242988" w:rsidRPr="004465BD">
        <w:rPr>
          <w:rFonts w:eastAsiaTheme="minorEastAsia"/>
        </w:rPr>
        <w:t xml:space="preserve"> term; and lag COVID-19 transmission data indicated by the </w:t>
      </w:r>
      <m:oMath>
        <m:sSub>
          <m:sSubPr>
            <m:ctrlPr>
              <w:rPr>
                <w:rFonts w:ascii="Cambria Math" w:hAnsi="Cambria Math"/>
                <w:i/>
              </w:rPr>
            </m:ctrlPr>
          </m:sSubPr>
          <m:e>
            <m:r>
              <w:rPr>
                <w:rFonts w:ascii="Cambria Math" w:hAnsi="Cambria Math"/>
              </w:rPr>
              <m:t>v</m:t>
            </m:r>
          </m:e>
          <m:sub>
            <m:r>
              <w:rPr>
                <w:rFonts w:ascii="Cambria Math" w:hAnsi="Cambria Math"/>
              </w:rPr>
              <m:t>qt</m:t>
            </m:r>
          </m:sub>
        </m:sSub>
      </m:oMath>
      <w:r w:rsidR="00242988" w:rsidRPr="004465BD">
        <w:rPr>
          <w:rFonts w:eastAsiaTheme="minorEastAsia"/>
        </w:rPr>
        <w:t xml:space="preserve"> term) </w:t>
      </w:r>
      <w:r w:rsidR="00242988" w:rsidRPr="004465BD">
        <w:rPr>
          <w:rFonts w:cs="Times New Roman"/>
          <w:szCs w:val="24"/>
        </w:rPr>
        <w:t xml:space="preserve"> providing the best model fit will be retained in the final specification. </w:t>
      </w:r>
      <m:oMath>
        <m:r>
          <w:rPr>
            <w:rFonts w:ascii="Cambria Math" w:hAnsi="Cambria Math"/>
          </w:rPr>
          <m:t>α, β, ρ, and n</m:t>
        </m:r>
      </m:oMath>
      <w:r w:rsidR="00E620AC" w:rsidRPr="004465BD">
        <w:rPr>
          <w:rFonts w:eastAsiaTheme="minorEastAsia"/>
        </w:rPr>
        <w:t xml:space="preserve"> </w:t>
      </w:r>
      <w:r w:rsidR="00992C1B" w:rsidRPr="004465BD">
        <w:rPr>
          <w:rFonts w:eastAsiaTheme="minorEastAsia"/>
        </w:rPr>
        <w:t xml:space="preserve">represent corresponding </w:t>
      </w:r>
      <w:r w:rsidR="00E620AC" w:rsidRPr="004465BD">
        <w:rPr>
          <w:rFonts w:eastAsiaTheme="minorEastAsia"/>
        </w:rPr>
        <w:t>model coefficients</w:t>
      </w:r>
      <w:r w:rsidR="00992C1B" w:rsidRPr="004465BD">
        <w:rPr>
          <w:rFonts w:eastAsiaTheme="minorEastAsia"/>
        </w:rPr>
        <w:t xml:space="preserve">. </w:t>
      </w:r>
      <w:r w:rsidR="005633F7" w:rsidRPr="004465BD">
        <w:rPr>
          <w:rFonts w:ascii="Cambria Math" w:eastAsia="Times New Roman" w:hAnsi="Cambria Math" w:cs="Times New Roman"/>
          <w:i/>
          <w:szCs w:val="24"/>
        </w:rPr>
        <w:t xml:space="preserve"> </w:t>
      </w:r>
      <m:oMath>
        <m:sSub>
          <m:sSubPr>
            <m:ctrlPr>
              <w:rPr>
                <w:rFonts w:ascii="Cambria Math" w:eastAsia="Times New Roman" w:hAnsi="Cambria Math" w:cs="Times New Roman"/>
                <w:bCs/>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q</m:t>
            </m:r>
          </m:sub>
        </m:sSub>
        <m:sSub>
          <m:sSubPr>
            <m:ctrlPr>
              <w:rPr>
                <w:rFonts w:ascii="Cambria Math" w:eastAsia="Times New Roman" w:hAnsi="Cambria Math" w:cs="Times New Roman"/>
                <w:i/>
                <w:szCs w:val="24"/>
              </w:rPr>
            </m:ctrlPr>
          </m:sSubPr>
          <m:e>
            <m:r>
              <w:rPr>
                <w:rFonts w:ascii="Cambria Math" w:eastAsia="Times New Roman" w:hAnsi="Cambria Math" w:cs="Times New Roman"/>
                <w:szCs w:val="24"/>
              </w:rPr>
              <m:t xml:space="preserve"> and η</m:t>
            </m:r>
          </m:e>
          <m:sub>
            <m:r>
              <w:rPr>
                <w:rFonts w:ascii="Cambria Math" w:eastAsia="Times New Roman" w:hAnsi="Cambria Math" w:cs="Times New Roman"/>
                <w:szCs w:val="24"/>
              </w:rPr>
              <m:t>qt</m:t>
            </m:r>
          </m:sub>
        </m:sSub>
      </m:oMath>
      <w:r w:rsidR="005633F7" w:rsidRPr="004465BD">
        <w:rPr>
          <w:rFonts w:ascii="Cambria Math" w:eastAsia="Times New Roman" w:hAnsi="Cambria Math" w:cs="Times New Roman"/>
          <w:i/>
          <w:szCs w:val="24"/>
        </w:rPr>
        <w:t xml:space="preserve"> </w:t>
      </w:r>
      <w:r w:rsidR="00A32A77" w:rsidRPr="004465BD">
        <w:rPr>
          <w:rFonts w:eastAsia="Times New Roman" w:cs="Times New Roman"/>
        </w:rPr>
        <w:t xml:space="preserve">captures the common unobserved </w:t>
      </w:r>
      <w:r w:rsidR="00BA0F76" w:rsidRPr="004465BD">
        <w:rPr>
          <w:rFonts w:eastAsia="Times New Roman" w:cs="Times New Roman"/>
        </w:rPr>
        <w:t xml:space="preserve">county and county-week </w:t>
      </w:r>
      <w:r w:rsidR="00A32A77" w:rsidRPr="004465BD">
        <w:rPr>
          <w:rFonts w:eastAsia="Times New Roman" w:cs="Times New Roman"/>
        </w:rPr>
        <w:t xml:space="preserve">factors </w:t>
      </w:r>
      <w:r w:rsidR="00BA0F76" w:rsidRPr="004465BD">
        <w:rPr>
          <w:rFonts w:eastAsia="Times New Roman" w:cs="Times New Roman"/>
        </w:rPr>
        <w:t xml:space="preserve">respectively </w:t>
      </w:r>
      <w:r w:rsidR="00A32A77" w:rsidRPr="004465BD">
        <w:rPr>
          <w:rFonts w:eastAsia="Times New Roman" w:cs="Times New Roman"/>
        </w:rPr>
        <w:t xml:space="preserve">that simultaneously impact the weekly </w:t>
      </w:r>
      <w:r w:rsidR="00A32A77" w:rsidRPr="004465BD">
        <w:rPr>
          <w:rFonts w:eastAsiaTheme="minorEastAsia"/>
        </w:rPr>
        <w:t>COVID-19 transmission rate and weekly average mobility at the county level</w:t>
      </w:r>
      <w:r w:rsidR="006D4544" w:rsidRPr="004465BD">
        <w:t xml:space="preserve">. </w:t>
      </w:r>
      <w:r w:rsidR="005E4D69" w:rsidRPr="004465BD">
        <w:t>The</w:t>
      </w:r>
      <w:r w:rsidR="00E55547" w:rsidRPr="004465BD">
        <w:t xml:space="preserve"> correlation parameter</w:t>
      </w:r>
      <w:r w:rsidR="005E4D69" w:rsidRPr="004465BD">
        <w:t>s</w:t>
      </w:r>
      <w:r w:rsidR="00E55547" w:rsidRPr="004465BD">
        <w:t xml:space="preserve"> </w:t>
      </w:r>
      <w:r w:rsidR="005E4D69" w:rsidRPr="004465BD">
        <w:t>are</w:t>
      </w:r>
      <w:r w:rsidR="00E55547" w:rsidRPr="004465BD">
        <w:t xml:space="preserve"> parametrized as a function of observed attributes as follows:</w:t>
      </w:r>
    </w:p>
    <w:p w14:paraId="1002918F" w14:textId="77777777" w:rsidR="0076407F" w:rsidRPr="004465BD" w:rsidRDefault="0076407F" w:rsidP="00EB5197"/>
    <w:p w14:paraId="67C8E68A" w14:textId="0342D060" w:rsidR="00E55547" w:rsidRPr="004465BD" w:rsidRDefault="00000000" w:rsidP="00EB5197">
      <m:oMath>
        <m:sSub>
          <m:sSubPr>
            <m:ctrlPr>
              <w:rPr>
                <w:rFonts w:ascii="Cambria Math" w:eastAsia="Times New Roman" w:hAnsi="Cambria Math" w:cs="Times New Roman"/>
                <w:bCs/>
                <w:i/>
                <w:szCs w:val="24"/>
              </w:rPr>
            </m:ctrlPr>
          </m:sSubPr>
          <m:e>
            <m:r>
              <w:rPr>
                <w:rFonts w:ascii="Cambria Math" w:eastAsia="Times New Roman" w:hAnsi="Cambria Math" w:cs="Times New Roman"/>
                <w:szCs w:val="24"/>
              </w:rPr>
              <m:t>δ</m:t>
            </m:r>
          </m:e>
          <m:sub>
            <m:r>
              <w:rPr>
                <w:rFonts w:ascii="Cambria Math" w:eastAsia="Times New Roman" w:hAnsi="Cambria Math" w:cs="Times New Roman"/>
                <w:szCs w:val="24"/>
              </w:rPr>
              <m:t>q</m:t>
            </m:r>
          </m:sub>
        </m:sSub>
        <m:r>
          <w:rPr>
            <w:rFonts w:ascii="Cambria Math" w:hAnsi="Cambria Math"/>
          </w:rPr>
          <m:t xml:space="preserve">= </m:t>
        </m:r>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γ</m:t>
            </m:r>
          </m:e>
          <m:sub>
            <m:r>
              <w:rPr>
                <w:rFonts w:ascii="Cambria Math" w:eastAsia="Times New Roman" w:hAnsi="Cambria Math" w:cs="Times New Roman"/>
                <w:szCs w:val="24"/>
              </w:rPr>
              <m:t>q</m:t>
            </m:r>
          </m:sub>
        </m:sSub>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s</m:t>
            </m:r>
          </m:e>
          <m:sub>
            <m:r>
              <w:rPr>
                <w:rFonts w:ascii="Cambria Math" w:eastAsia="Times New Roman" w:hAnsi="Cambria Math" w:cs="Times New Roman"/>
                <w:szCs w:val="24"/>
              </w:rPr>
              <m:t>q</m:t>
            </m:r>
          </m:sub>
        </m:sSub>
      </m:oMath>
      <w:r w:rsidR="00E55547" w:rsidRPr="004465BD">
        <w:rPr>
          <w:rFonts w:eastAsiaTheme="minorEastAsia"/>
        </w:rPr>
        <w:t xml:space="preserve">    </w:t>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t xml:space="preserve">       </w:t>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t xml:space="preserve">       (3)</w:t>
      </w:r>
    </w:p>
    <w:p w14:paraId="1221EB36" w14:textId="53FECE22" w:rsidR="00E55547" w:rsidRPr="004465BD" w:rsidRDefault="00000000" w:rsidP="00EB5197">
      <w:pPr>
        <w:rPr>
          <w:rFonts w:eastAsiaTheme="minorEastAsia"/>
        </w:rPr>
      </w:p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η</m:t>
            </m:r>
          </m:e>
          <m:sub>
            <m:r>
              <w:rPr>
                <w:rFonts w:ascii="Cambria Math" w:eastAsia="Times New Roman" w:hAnsi="Cambria Math" w:cs="Times New Roman"/>
                <w:szCs w:val="24"/>
              </w:rPr>
              <m:t>qt</m:t>
            </m:r>
          </m:sub>
        </m:sSub>
        <m:r>
          <w:rPr>
            <w:rFonts w:ascii="Cambria Math" w:hAnsi="Cambria Math"/>
          </w:rPr>
          <m:t xml:space="preserve">= </m:t>
        </m:r>
        <m:sSub>
          <m:sSubPr>
            <m:ctrlPr>
              <w:rPr>
                <w:rFonts w:ascii="Cambria Math" w:eastAsia="Times New Roman" w:hAnsi="Cambria Math" w:cs="Times New Roman"/>
                <w:b/>
                <w:i/>
                <w:szCs w:val="24"/>
              </w:rPr>
            </m:ctrlPr>
          </m:sSubPr>
          <m:e>
            <m:r>
              <m:rPr>
                <m:sty m:val="bi"/>
              </m:rPr>
              <w:rPr>
                <w:rFonts w:ascii="Cambria Math" w:eastAsia="Times New Roman" w:hAnsi="Cambria Math" w:cs="Times New Roman"/>
                <w:szCs w:val="24"/>
              </w:rPr>
              <m:t>α</m:t>
            </m:r>
          </m:e>
          <m:sub>
            <m:r>
              <m:rPr>
                <m:sty m:val="bi"/>
              </m:rPr>
              <w:rPr>
                <w:rFonts w:ascii="Cambria Math" w:eastAsia="Times New Roman" w:hAnsi="Cambria Math" w:cs="Times New Roman"/>
                <w:szCs w:val="24"/>
              </w:rPr>
              <m:t>qt</m:t>
            </m:r>
          </m:sub>
        </m:sSub>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z</m:t>
            </m:r>
          </m:e>
          <m:sub>
            <m:r>
              <w:rPr>
                <w:rFonts w:ascii="Cambria Math" w:eastAsia="Times New Roman" w:hAnsi="Cambria Math" w:cs="Times New Roman"/>
                <w:szCs w:val="24"/>
              </w:rPr>
              <m:t>qt</m:t>
            </m:r>
          </m:sub>
        </m:sSub>
      </m:oMath>
      <w:r w:rsidR="00E55547" w:rsidRPr="004465BD">
        <w:rPr>
          <w:rFonts w:eastAsiaTheme="minorEastAsia"/>
        </w:rPr>
        <w:t xml:space="preserve">    </w:t>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t xml:space="preserve">       </w:t>
      </w:r>
      <w:r w:rsidR="00E55547" w:rsidRPr="004465BD">
        <w:rPr>
          <w:rFonts w:eastAsiaTheme="minorEastAsia"/>
        </w:rPr>
        <w:tab/>
      </w:r>
      <w:r w:rsidR="00E55547" w:rsidRPr="004465BD">
        <w:rPr>
          <w:rFonts w:eastAsiaTheme="minorEastAsia"/>
        </w:rPr>
        <w:tab/>
      </w:r>
      <w:r w:rsidR="00E55547" w:rsidRPr="004465BD">
        <w:rPr>
          <w:rFonts w:eastAsiaTheme="minorEastAsia"/>
        </w:rPr>
        <w:tab/>
      </w:r>
      <w:r w:rsidR="00E55547" w:rsidRPr="004465BD">
        <w:rPr>
          <w:rFonts w:eastAsiaTheme="minorEastAsia"/>
        </w:rPr>
        <w:tab/>
        <w:t xml:space="preserve">       (</w:t>
      </w:r>
      <w:r w:rsidR="00C845AC" w:rsidRPr="004465BD">
        <w:rPr>
          <w:rFonts w:eastAsiaTheme="minorEastAsia"/>
        </w:rPr>
        <w:t>4</w:t>
      </w:r>
      <w:r w:rsidR="00E55547" w:rsidRPr="004465BD">
        <w:rPr>
          <w:rFonts w:eastAsiaTheme="minorEastAsia"/>
        </w:rPr>
        <w:t>)</w:t>
      </w:r>
    </w:p>
    <w:p w14:paraId="4E32E720" w14:textId="77777777" w:rsidR="0076407F" w:rsidRPr="004465BD" w:rsidRDefault="0076407F" w:rsidP="00EB5197"/>
    <w:p w14:paraId="5BFB5C82" w14:textId="316C9E0B" w:rsidR="00E55547" w:rsidRPr="004465BD" w:rsidRDefault="004D4C3A" w:rsidP="00EB5197">
      <w:r w:rsidRPr="004465BD">
        <w:t xml:space="preserve">where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s</m:t>
            </m:r>
          </m:e>
          <m:sub>
            <m:r>
              <w:rPr>
                <w:rFonts w:ascii="Cambria Math" w:eastAsia="Times New Roman" w:hAnsi="Cambria Math" w:cs="Times New Roman"/>
                <w:szCs w:val="24"/>
              </w:rPr>
              <m:t>q</m:t>
            </m:r>
          </m:sub>
        </m:sSub>
      </m:oMath>
      <w:r w:rsidRPr="004465BD">
        <w:rPr>
          <w:rFonts w:eastAsiaTheme="minorEastAsia"/>
          <w:szCs w:val="24"/>
        </w:rPr>
        <w:t xml:space="preserve"> and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z</m:t>
            </m:r>
          </m:e>
          <m:sub>
            <m:r>
              <w:rPr>
                <w:rFonts w:ascii="Cambria Math" w:eastAsia="Times New Roman" w:hAnsi="Cambria Math" w:cs="Times New Roman"/>
                <w:szCs w:val="24"/>
              </w:rPr>
              <m:t>qt</m:t>
            </m:r>
          </m:sub>
        </m:sSub>
      </m:oMath>
      <w:r w:rsidRPr="004465BD">
        <w:rPr>
          <w:rFonts w:eastAsiaTheme="minorEastAsia"/>
          <w:szCs w:val="24"/>
        </w:rPr>
        <w:t xml:space="preserve"> are vector of exogenous variables and </w:t>
      </w: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γ</m:t>
            </m:r>
          </m:e>
          <m:sub>
            <m:r>
              <w:rPr>
                <w:rFonts w:ascii="Cambria Math" w:eastAsia="Times New Roman" w:hAnsi="Cambria Math" w:cs="Times New Roman"/>
                <w:szCs w:val="24"/>
              </w:rPr>
              <m:t>q</m:t>
            </m:r>
          </m:sub>
        </m:sSub>
      </m:oMath>
      <w:r w:rsidRPr="004465BD">
        <w:rPr>
          <w:rFonts w:eastAsiaTheme="minorEastAsia"/>
          <w:szCs w:val="24"/>
        </w:rPr>
        <w:t xml:space="preserve"> and </w:t>
      </w:r>
      <m:oMath>
        <m:sSub>
          <m:sSubPr>
            <m:ctrlPr>
              <w:rPr>
                <w:rFonts w:ascii="Cambria Math" w:eastAsia="Times New Roman" w:hAnsi="Cambria Math" w:cs="Times New Roman"/>
                <w:i/>
                <w:szCs w:val="24"/>
              </w:rPr>
            </m:ctrlPr>
          </m:sSubPr>
          <m:e>
            <m:r>
              <m:rPr>
                <m:sty m:val="bi"/>
              </m:rPr>
              <w:rPr>
                <w:rFonts w:ascii="Cambria Math" w:eastAsia="Times New Roman" w:hAnsi="Cambria Math" w:cs="Times New Roman"/>
                <w:szCs w:val="24"/>
              </w:rPr>
              <m:t>α</m:t>
            </m:r>
          </m:e>
          <m:sub>
            <m:r>
              <w:rPr>
                <w:rFonts w:ascii="Cambria Math" w:eastAsia="Times New Roman" w:hAnsi="Cambria Math" w:cs="Times New Roman"/>
                <w:szCs w:val="24"/>
              </w:rPr>
              <m:t>qt</m:t>
            </m:r>
          </m:sub>
        </m:sSub>
      </m:oMath>
      <w:r w:rsidRPr="004465BD">
        <w:rPr>
          <w:rFonts w:eastAsiaTheme="minorEastAsia"/>
          <w:szCs w:val="24"/>
        </w:rPr>
        <w:t xml:space="preserve"> are the corresponding vector of unknown parameters to be estimated.</w:t>
      </w:r>
      <w:r w:rsidRPr="004465BD">
        <w:rPr>
          <w:rFonts w:eastAsiaTheme="minorEastAsia"/>
          <w:b/>
          <w:szCs w:val="24"/>
        </w:rPr>
        <w:t xml:space="preserve"> </w:t>
      </w:r>
      <w:r w:rsidR="00AD3FBE" w:rsidRPr="004465BD">
        <w:rPr>
          <w:rFonts w:eastAsiaTheme="minorEastAsia"/>
          <w:bCs/>
          <w:szCs w:val="24"/>
        </w:rPr>
        <w:t xml:space="preserve">Here, we will explore different indicator variables for different phases to see how the correlation changes over the </w:t>
      </w:r>
      <w:r w:rsidR="00BD2123" w:rsidRPr="004465BD">
        <w:rPr>
          <w:rFonts w:eastAsiaTheme="minorEastAsia"/>
          <w:bCs/>
          <w:szCs w:val="24"/>
        </w:rPr>
        <w:t>phases</w:t>
      </w:r>
      <w:r w:rsidR="00AD3FBE" w:rsidRPr="004465BD">
        <w:rPr>
          <w:rFonts w:eastAsiaTheme="minorEastAsia"/>
          <w:bCs/>
          <w:szCs w:val="24"/>
        </w:rPr>
        <w:t xml:space="preserve"> of the pandemic.</w:t>
      </w:r>
      <w:r w:rsidR="00AD3FBE" w:rsidRPr="004465BD">
        <w:t xml:space="preserve"> </w:t>
      </w:r>
    </w:p>
    <w:p w14:paraId="6268517F" w14:textId="7DE962F2" w:rsidR="00AF46CC" w:rsidRPr="004465BD" w:rsidRDefault="006D4544" w:rsidP="00EB5197">
      <w:pPr>
        <w:ind w:firstLine="432"/>
      </w:pPr>
      <w:r w:rsidRPr="004465BD">
        <w:t>The</w:t>
      </w:r>
      <w:r w:rsidR="00C7416E" w:rsidRPr="004465BD">
        <w:t xml:space="preserve"> </w:t>
      </w:r>
      <m:oMath>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hAnsi="Cambria Math"/>
          </w:rPr>
          <m:t xml:space="preserve">, and </m:t>
        </m:r>
        <m:sSub>
          <m:sSubPr>
            <m:ctrlPr>
              <w:rPr>
                <w:rFonts w:ascii="Cambria Math" w:hAnsi="Cambria Math"/>
                <w:i/>
              </w:rPr>
            </m:ctrlPr>
          </m:sSubPr>
          <m:e>
            <m:r>
              <w:rPr>
                <w:rFonts w:ascii="Cambria Math" w:hAnsi="Cambria Math"/>
              </w:rPr>
              <m:t>τ</m:t>
            </m:r>
          </m:e>
          <m:sub>
            <m:r>
              <w:rPr>
                <w:rFonts w:ascii="Cambria Math" w:hAnsi="Cambria Math"/>
              </w:rPr>
              <m:t>q</m:t>
            </m:r>
          </m:sub>
        </m:sSub>
      </m:oMath>
      <w:r w:rsidR="00C7416E" w:rsidRPr="004465BD">
        <w:t xml:space="preserve"> term </w:t>
      </w:r>
      <w:r w:rsidR="004D4C3A" w:rsidRPr="004465BD">
        <w:t xml:space="preserve">in equation 1 and 2 </w:t>
      </w:r>
      <w:r w:rsidR="00C7416E" w:rsidRPr="004465BD">
        <w:t>will be same across each county and thus captures the dependencies across the repetition for each county</w:t>
      </w:r>
      <w:r w:rsidR="00C93867" w:rsidRPr="004465BD">
        <w:t xml:space="preserve"> for the corresponding dependent variable</w:t>
      </w:r>
      <w:r w:rsidR="00C7416E" w:rsidRPr="004465BD">
        <w:t xml:space="preserve">. </w:t>
      </w:r>
      <w:r w:rsidR="00AF46CC" w:rsidRPr="004465BD">
        <w:lastRenderedPageBreak/>
        <w:t xml:space="preserve">To account for the repeated </w:t>
      </w:r>
      <w:r w:rsidR="00616828" w:rsidRPr="004465BD">
        <w:t>dependencies</w:t>
      </w:r>
      <w:r w:rsidR="00AF46CC" w:rsidRPr="004465BD">
        <w:t xml:space="preserve">, we used the </w:t>
      </w:r>
      <w:r w:rsidR="00616828" w:rsidRPr="004465BD">
        <w:t>Autoregressive moving average (</w:t>
      </w:r>
      <w:r w:rsidR="00AF46CC" w:rsidRPr="004465BD">
        <w:t>ARMA</w:t>
      </w:r>
      <w:r w:rsidR="00616828" w:rsidRPr="004465BD">
        <w:t>)</w:t>
      </w:r>
      <w:r w:rsidR="00AF46CC" w:rsidRPr="004465BD">
        <w:t xml:space="preserve"> structure. The exact functional form of the covariance structure assumed is shown below:</w:t>
      </w:r>
    </w:p>
    <w:p w14:paraId="271AB0AB" w14:textId="77777777" w:rsidR="009E32E6" w:rsidRPr="004465BD" w:rsidRDefault="009E32E6" w:rsidP="00EB5197">
      <w:pPr>
        <w:ind w:firstLine="432"/>
      </w:pPr>
    </w:p>
    <w:p w14:paraId="3C85BE71" w14:textId="428AA81B" w:rsidR="00AF46CC" w:rsidRPr="004465BD" w:rsidRDefault="00000000" w:rsidP="00EB5197">
      <w:pPr>
        <w:tabs>
          <w:tab w:val="left" w:pos="9000"/>
        </w:tabs>
        <w:rPr>
          <w:rFonts w:eastAsiaTheme="minorEastAsia" w:cs="Times New Roman"/>
        </w:rPr>
      </w:pPr>
      <m:oMath>
        <m:sSub>
          <m:sSubPr>
            <m:ctrlPr>
              <w:rPr>
                <w:rFonts w:ascii="Cambria Math" w:eastAsia="Calibri" w:hAnsi="Cambria Math" w:cs="Vrinda"/>
                <w:i/>
              </w:rPr>
            </m:ctrlPr>
          </m:sSubPr>
          <m:e>
            <m:r>
              <w:rPr>
                <w:rFonts w:ascii="Cambria Math" w:eastAsia="Calibri" w:hAnsi="Cambria Math" w:cs="Vrinda"/>
              </w:rPr>
              <m:t>ƒ</m:t>
            </m:r>
          </m:e>
          <m:sub>
            <m:r>
              <w:rPr>
                <w:rFonts w:ascii="Cambria Math" w:eastAsia="Calibri" w:hAnsi="Cambria Math" w:cs="Vrinda"/>
              </w:rPr>
              <m:t>y,z</m:t>
            </m:r>
          </m:sub>
        </m:sSub>
        <m:r>
          <w:rPr>
            <w:rFonts w:ascii="Cambria Math" w:eastAsia="Calibri" w:hAnsi="Cambria Math" w:cs="Vrinda"/>
          </w:rPr>
          <m:t xml:space="preserve"> =</m:t>
        </m:r>
        <m:sSubSup>
          <m:sSubSupPr>
            <m:ctrlPr>
              <w:rPr>
                <w:rFonts w:ascii="Cambria Math" w:eastAsia="Calibri" w:hAnsi="Cambria Math" w:cs="Vrinda"/>
                <w:i/>
              </w:rPr>
            </m:ctrlPr>
          </m:sSubSupPr>
          <m:e>
            <m:r>
              <w:rPr>
                <w:rFonts w:ascii="Cambria Math" w:eastAsia="Calibri" w:hAnsi="Cambria Math" w:cs="Vrinda"/>
              </w:rPr>
              <m:t>σ</m:t>
            </m:r>
          </m:e>
          <m:sub>
            <m:r>
              <w:rPr>
                <w:rFonts w:ascii="Cambria Math" w:eastAsia="Calibri" w:hAnsi="Cambria Math" w:cs="Vrinda"/>
              </w:rPr>
              <m:t>y,z</m:t>
            </m:r>
          </m:sub>
          <m:sup>
            <m:r>
              <w:rPr>
                <w:rFonts w:ascii="Cambria Math" w:eastAsia="Calibri" w:hAnsi="Cambria Math" w:cs="Vrinda"/>
              </w:rPr>
              <m:t>2</m:t>
            </m:r>
          </m:sup>
        </m:sSubSup>
        <m:d>
          <m:dPr>
            <m:ctrlPr>
              <w:rPr>
                <w:rFonts w:ascii="Cambria Math" w:eastAsia="Calibri" w:hAnsi="Cambria Math" w:cs="Vrinda"/>
              </w:rPr>
            </m:ctrlPr>
          </m:dPr>
          <m:e>
            <m:m>
              <m:mPr>
                <m:mcs>
                  <m:mc>
                    <m:mcPr>
                      <m:count m:val="4"/>
                      <m:mcJc m:val="center"/>
                    </m:mcPr>
                  </m:mc>
                </m:mcs>
                <m:ctrlPr>
                  <w:rPr>
                    <w:rFonts w:ascii="Cambria Math" w:eastAsia="Calibri" w:hAnsi="Cambria Math" w:cs="Vrinda"/>
                  </w:rPr>
                </m:ctrlPr>
              </m:mPr>
              <m:mr>
                <m:e>
                  <m:r>
                    <w:rPr>
                      <w:rFonts w:ascii="Cambria Math" w:eastAsia="Calibri" w:cs="Vrinda"/>
                    </w:rPr>
                    <m:t>1</m:t>
                  </m:r>
                  <m:ctrlPr>
                    <w:rPr>
                      <w:rFonts w:ascii="Cambria Math" w:eastAsia="Cambria Math" w:hAnsi="Cambria Math" w:cs="Vrinda"/>
                    </w:rPr>
                  </m:ctrlPr>
                </m:e>
                <m:e>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sSub>
                    <m:sSubPr>
                      <m:ctrlPr>
                        <w:rPr>
                          <w:rFonts w:ascii="Cambria Math" w:eastAsia="Cambria Math" w:hAnsi="Cambria Math" w:cs="Vrinda"/>
                          <w:i/>
                        </w:rPr>
                      </m:ctrlPr>
                    </m:sSubPr>
                    <m:e>
                      <m:r>
                        <w:rPr>
                          <w:rFonts w:ascii="Cambria Math" w:eastAsia="Cambria Math" w:hAnsi="Cambria Math" w:cs="Vrinda"/>
                        </w:rPr>
                        <m:t>ρ</m:t>
                      </m:r>
                    </m:e>
                    <m:sub>
                      <m:r>
                        <w:rPr>
                          <w:rFonts w:ascii="Cambria Math" w:eastAsia="Cambria Math" w:hAnsi="Cambria Math" w:cs="Vrinda"/>
                        </w:rPr>
                        <m:t>y,z</m:t>
                      </m:r>
                    </m:sub>
                  </m:sSub>
                  <m:ctrlPr>
                    <w:rPr>
                      <w:rFonts w:ascii="Cambria Math" w:eastAsia="Cambria Math" w:hAnsi="Cambria Math" w:cs="Vrinda"/>
                    </w:rPr>
                  </m:ctrlPr>
                </m:e>
                <m:e>
                  <m:r>
                    <w:rPr>
                      <w:rFonts w:ascii="Cambria Math" w:eastAsia="Cambria Math" w:hAnsi="Cambria Math" w:cs="Vrinda"/>
                    </w:rPr>
                    <m:t>…</m:t>
                  </m:r>
                  <m:ctrlPr>
                    <w:rPr>
                      <w:rFonts w:ascii="Cambria Math" w:eastAsia="Cambria Math" w:hAnsi="Cambria Math" w:cs="Vrinda"/>
                    </w:rPr>
                  </m:ctrlPr>
                </m:e>
                <m:e>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sSubSup>
                    <m:sSubSupPr>
                      <m:ctrlPr>
                        <w:rPr>
                          <w:rFonts w:ascii="Cambria Math" w:eastAsia="Cambria Math" w:hAnsi="Cambria Math" w:cs="Vrinda"/>
                          <w:i/>
                        </w:rPr>
                      </m:ctrlPr>
                    </m:sSubSupPr>
                    <m:e>
                      <m:r>
                        <w:rPr>
                          <w:rFonts w:ascii="Cambria Math" w:eastAsia="Cambria Math" w:hAnsi="Cambria Math" w:cs="Vrinda"/>
                        </w:rPr>
                        <m:t>ρ</m:t>
                      </m:r>
                    </m:e>
                    <m:sub>
                      <m:r>
                        <w:rPr>
                          <w:rFonts w:ascii="Cambria Math" w:eastAsia="Cambria Math" w:hAnsi="Cambria Math" w:cs="Vrinda"/>
                        </w:rPr>
                        <m:t>y,z</m:t>
                      </m:r>
                    </m:sub>
                    <m:sup>
                      <m:r>
                        <w:rPr>
                          <w:rFonts w:ascii="Cambria Math" w:eastAsia="Cambria Math" w:hAnsi="Cambria Math" w:cs="Vrinda"/>
                        </w:rPr>
                        <m:t>t-1</m:t>
                      </m:r>
                    </m:sup>
                  </m:sSubSup>
                  <m:ctrlPr>
                    <w:rPr>
                      <w:rFonts w:ascii="Cambria Math" w:eastAsia="Cambria Math" w:hAnsi="Cambria Math" w:cs="Vrinda"/>
                    </w:rPr>
                  </m:ctrlPr>
                </m:e>
              </m:mr>
              <m:mr>
                <m:e>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r>
                    <w:rPr>
                      <w:rFonts w:ascii="Cambria Math" w:eastAsia="Cambria Math" w:hAnsi="Cambria Math" w:cs="Vrinda"/>
                    </w:rPr>
                    <m:t>ρ</m:t>
                  </m:r>
                </m:e>
                <m:e>
                  <m:r>
                    <w:rPr>
                      <w:rFonts w:ascii="Cambria Math" w:eastAsia="Calibri" w:hAnsi="Cambria Math" w:cs="Vrinda"/>
                    </w:rPr>
                    <m:t>1</m:t>
                  </m:r>
                </m:e>
                <m:e>
                  <m:r>
                    <w:rPr>
                      <w:rFonts w:ascii="Cambria Math" w:eastAsia="Calibri" w:hAnsi="Cambria Math" w:cs="Vrinda"/>
                    </w:rPr>
                    <m:t>…</m:t>
                  </m:r>
                </m:e>
                <m:e>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sSubSup>
                    <m:sSubSupPr>
                      <m:ctrlPr>
                        <w:rPr>
                          <w:rFonts w:ascii="Cambria Math" w:eastAsia="Cambria Math" w:hAnsi="Cambria Math" w:cs="Vrinda"/>
                          <w:i/>
                        </w:rPr>
                      </m:ctrlPr>
                    </m:sSubSupPr>
                    <m:e>
                      <m:r>
                        <w:rPr>
                          <w:rFonts w:ascii="Cambria Math" w:eastAsia="Cambria Math" w:hAnsi="Cambria Math" w:cs="Vrinda"/>
                        </w:rPr>
                        <m:t>ρ</m:t>
                      </m:r>
                    </m:e>
                    <m:sub>
                      <m:r>
                        <w:rPr>
                          <w:rFonts w:ascii="Cambria Math" w:eastAsia="Cambria Math" w:hAnsi="Cambria Math" w:cs="Vrinda"/>
                        </w:rPr>
                        <m:t>y,z</m:t>
                      </m:r>
                    </m:sub>
                    <m:sup>
                      <m:r>
                        <w:rPr>
                          <w:rFonts w:ascii="Cambria Math" w:eastAsia="Cambria Math" w:hAnsi="Cambria Math" w:cs="Vrinda"/>
                        </w:rPr>
                        <m:t>t-2</m:t>
                      </m:r>
                    </m:sup>
                  </m:sSubSup>
                  <m:ctrlPr>
                    <w:rPr>
                      <w:rFonts w:ascii="Cambria Math" w:eastAsia="Cambria Math" w:hAnsi="Cambria Math" w:cs="Vrinda"/>
                    </w:rPr>
                  </m:ctrlPr>
                </m:e>
              </m:mr>
              <m:mr>
                <m:e>
                  <m:r>
                    <w:rPr>
                      <w:rFonts w:ascii="Cambria Math" w:eastAsia="Cambria Math" w:hAnsi="Cambria Math" w:cs="Vrinda"/>
                    </w:rPr>
                    <m:t>⋮</m:t>
                  </m:r>
                </m:e>
                <m:e>
                  <m:r>
                    <w:rPr>
                      <w:rFonts w:ascii="Cambria Math" w:eastAsia="Calibri" w:hAnsi="Cambria Math" w:cs="Vrinda"/>
                    </w:rPr>
                    <m:t>⋮</m:t>
                  </m:r>
                </m:e>
                <m:e>
                  <m:r>
                    <w:rPr>
                      <w:rFonts w:ascii="Cambria Math" w:eastAsia="Calibri" w:hAnsi="Cambria Math" w:cs="Vrinda"/>
                    </w:rPr>
                    <m:t>⋱</m:t>
                  </m:r>
                </m:e>
                <m:e>
                  <m:r>
                    <w:rPr>
                      <w:rFonts w:ascii="Cambria Math" w:eastAsia="Calibri" w:hAnsi="Cambria Math" w:cs="Vrinda"/>
                    </w:rPr>
                    <m:t>⋮</m:t>
                  </m:r>
                  <m:ctrlPr>
                    <w:rPr>
                      <w:rFonts w:ascii="Cambria Math" w:eastAsia="Cambria Math" w:hAnsi="Cambria Math" w:cs="Vrinda"/>
                    </w:rPr>
                  </m:ctrlPr>
                </m:e>
              </m:mr>
              <m:mr>
                <m:e>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sSubSup>
                    <m:sSubSupPr>
                      <m:ctrlPr>
                        <w:rPr>
                          <w:rFonts w:ascii="Cambria Math" w:eastAsia="Cambria Math" w:hAnsi="Cambria Math" w:cs="Vrinda"/>
                          <w:i/>
                        </w:rPr>
                      </m:ctrlPr>
                    </m:sSubSupPr>
                    <m:e>
                      <m:r>
                        <w:rPr>
                          <w:rFonts w:ascii="Cambria Math" w:eastAsia="Cambria Math" w:hAnsi="Cambria Math" w:cs="Vrinda"/>
                        </w:rPr>
                        <m:t>ρ</m:t>
                      </m:r>
                    </m:e>
                    <m:sub>
                      <m:r>
                        <w:rPr>
                          <w:rFonts w:ascii="Cambria Math" w:eastAsia="Cambria Math" w:hAnsi="Cambria Math" w:cs="Vrinda"/>
                        </w:rPr>
                        <m:t>y,z</m:t>
                      </m:r>
                    </m:sub>
                    <m:sup>
                      <m:r>
                        <w:rPr>
                          <w:rFonts w:ascii="Cambria Math" w:eastAsia="Cambria Math" w:hAnsi="Cambria Math" w:cs="Vrinda"/>
                        </w:rPr>
                        <m:t>t-1</m:t>
                      </m:r>
                    </m:sup>
                  </m:sSubSup>
                </m:e>
                <m:e>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sSubSup>
                    <m:sSubSupPr>
                      <m:ctrlPr>
                        <w:rPr>
                          <w:rFonts w:ascii="Cambria Math" w:eastAsia="Cambria Math" w:hAnsi="Cambria Math" w:cs="Vrinda"/>
                          <w:i/>
                        </w:rPr>
                      </m:ctrlPr>
                    </m:sSubSupPr>
                    <m:e>
                      <m:r>
                        <w:rPr>
                          <w:rFonts w:ascii="Cambria Math" w:eastAsia="Cambria Math" w:hAnsi="Cambria Math" w:cs="Vrinda"/>
                        </w:rPr>
                        <m:t>ρ</m:t>
                      </m:r>
                    </m:e>
                    <m:sub>
                      <m:r>
                        <w:rPr>
                          <w:rFonts w:ascii="Cambria Math" w:eastAsia="Cambria Math" w:hAnsi="Cambria Math" w:cs="Vrinda"/>
                        </w:rPr>
                        <m:t>y,z</m:t>
                      </m:r>
                    </m:sub>
                    <m:sup>
                      <m:r>
                        <w:rPr>
                          <w:rFonts w:ascii="Cambria Math" w:eastAsia="Cambria Math" w:hAnsi="Cambria Math" w:cs="Vrinda"/>
                        </w:rPr>
                        <m:t>t-2</m:t>
                      </m:r>
                    </m:sup>
                  </m:sSubSup>
                </m:e>
                <m:e>
                  <m:r>
                    <w:rPr>
                      <w:rFonts w:ascii="Cambria Math" w:eastAsia="Calibri" w:hAnsi="Cambria Math" w:cs="Vrinda"/>
                    </w:rPr>
                    <m:t>…</m:t>
                  </m:r>
                  <m:ctrlPr>
                    <w:rPr>
                      <w:rFonts w:ascii="Cambria Math" w:eastAsia="Cambria Math" w:hAnsi="Cambria Math" w:cs="Vrinda"/>
                    </w:rPr>
                  </m:ctrlPr>
                </m:e>
                <m:e>
                  <m:r>
                    <w:rPr>
                      <w:rFonts w:ascii="Cambria Math" w:eastAsia="Calibri" w:hAnsi="Cambria Math" w:cs="Vrinda"/>
                    </w:rPr>
                    <m:t>1</m:t>
                  </m:r>
                </m:e>
              </m:mr>
            </m:m>
          </m:e>
        </m:d>
      </m:oMath>
      <w:r w:rsidR="00AF46CC" w:rsidRPr="004465BD">
        <w:rPr>
          <w:rFonts w:eastAsiaTheme="minorEastAsia" w:cs="Times New Roman"/>
        </w:rPr>
        <w:tab/>
        <w:t>(</w:t>
      </w:r>
      <w:r w:rsidR="00056CD8" w:rsidRPr="004465BD">
        <w:rPr>
          <w:rFonts w:eastAsiaTheme="minorEastAsia" w:cs="Times New Roman"/>
        </w:rPr>
        <w:t>5</w:t>
      </w:r>
      <w:r w:rsidR="00AF46CC" w:rsidRPr="004465BD">
        <w:rPr>
          <w:rFonts w:eastAsiaTheme="minorEastAsia" w:cs="Times New Roman"/>
        </w:rPr>
        <w:t>)</w:t>
      </w:r>
    </w:p>
    <w:p w14:paraId="433B8E4C" w14:textId="77777777" w:rsidR="009E32E6" w:rsidRPr="004465BD" w:rsidRDefault="009E32E6" w:rsidP="00EB5197">
      <w:pPr>
        <w:tabs>
          <w:tab w:val="left" w:pos="9000"/>
        </w:tabs>
        <w:rPr>
          <w:rFonts w:eastAsiaTheme="minorEastAsia" w:cs="Times New Roman"/>
        </w:rPr>
      </w:pPr>
    </w:p>
    <w:p w14:paraId="5C1F01D9" w14:textId="0B249F1C" w:rsidR="00151741" w:rsidRPr="004465BD" w:rsidRDefault="00AF46CC" w:rsidP="00EB5197">
      <w:pPr>
        <w:ind w:firstLine="432"/>
      </w:pPr>
      <w:r w:rsidRPr="004465BD">
        <w:rPr>
          <w:rFonts w:cs="Times New Roman"/>
          <w:szCs w:val="24"/>
        </w:rPr>
        <w:t xml:space="preserve">where, </w:t>
      </w:r>
      <m:oMath>
        <m:sSubSup>
          <m:sSubSupPr>
            <m:ctrlPr>
              <w:rPr>
                <w:rFonts w:ascii="Cambria Math" w:eastAsia="Calibri" w:hAnsi="Cambria Math" w:cs="Vrinda"/>
                <w:i/>
              </w:rPr>
            </m:ctrlPr>
          </m:sSubSupPr>
          <m:e>
            <m:r>
              <w:rPr>
                <w:rFonts w:ascii="Cambria Math" w:eastAsia="Calibri" w:hAnsi="Cambria Math" w:cs="Vrinda"/>
              </w:rPr>
              <m:t>σ</m:t>
            </m:r>
          </m:e>
          <m:sub>
            <m:r>
              <w:rPr>
                <w:rFonts w:ascii="Cambria Math" w:eastAsia="Calibri" w:hAnsi="Cambria Math" w:cs="Vrinda"/>
              </w:rPr>
              <m:t>y,z</m:t>
            </m:r>
          </m:sub>
          <m:sup>
            <m:r>
              <w:rPr>
                <w:rFonts w:ascii="Cambria Math" w:eastAsia="Calibri" w:hAnsi="Cambria Math" w:cs="Vrinda"/>
              </w:rPr>
              <m:t>2</m:t>
            </m:r>
          </m:sup>
        </m:sSubSup>
      </m:oMath>
      <w:r w:rsidRPr="004465BD">
        <w:rPr>
          <w:rFonts w:cs="Times New Roman"/>
        </w:rPr>
        <w:t xml:space="preserve"> represents the error variance of </w:t>
      </w:r>
      <m:oMath>
        <m:sSub>
          <m:sSubPr>
            <m:ctrlPr>
              <w:rPr>
                <w:rFonts w:ascii="Cambria Math" w:hAnsi="Cambria Math"/>
                <w:i/>
              </w:rPr>
            </m:ctrlPr>
          </m:sSubPr>
          <m:e>
            <m:r>
              <w:rPr>
                <w:rFonts w:ascii="Cambria Math" w:eastAsia="Times New Roman" w:hAnsi="Cambria Math" w:cs="Times New Roman"/>
                <w:szCs w:val="24"/>
              </w:rPr>
              <m:t>ξ</m:t>
            </m:r>
          </m:e>
          <m:sub>
            <m:r>
              <w:rPr>
                <w:rFonts w:ascii="Cambria Math" w:hAnsi="Cambria Math"/>
              </w:rPr>
              <m:t>qt</m:t>
            </m:r>
          </m:sub>
        </m:sSub>
      </m:oMath>
      <w:r w:rsidR="004A1C96" w:rsidRPr="004465BD">
        <w:rPr>
          <w:rFonts w:eastAsiaTheme="minorEastAsia" w:cs="Times New Roman"/>
        </w:rPr>
        <w:t xml:space="preserve"> and </w:t>
      </w:r>
      <m:oMath>
        <m:sSub>
          <m:sSubPr>
            <m:ctrlPr>
              <w:rPr>
                <w:rFonts w:ascii="Cambria Math" w:hAnsi="Cambria Math"/>
                <w:i/>
              </w:rPr>
            </m:ctrlPr>
          </m:sSubPr>
          <m:e>
            <m:r>
              <w:rPr>
                <w:rFonts w:ascii="Cambria Math" w:eastAsia="Times New Roman" w:hAnsi="Cambria Math" w:cs="Times New Roman"/>
                <w:szCs w:val="24"/>
              </w:rPr>
              <m:t>ε</m:t>
            </m:r>
          </m:e>
          <m:sub>
            <m:r>
              <w:rPr>
                <w:rFonts w:ascii="Cambria Math" w:hAnsi="Cambria Math"/>
              </w:rPr>
              <m:t>qt</m:t>
            </m:r>
          </m:sub>
        </m:sSub>
      </m:oMath>
      <w:r w:rsidR="004A1C96" w:rsidRPr="004465BD">
        <w:rPr>
          <w:rFonts w:eastAsiaTheme="minorEastAsia" w:cs="Times New Roman"/>
        </w:rPr>
        <w:t xml:space="preserve"> respectively</w:t>
      </w:r>
      <w:r w:rsidRPr="004465BD">
        <w:rPr>
          <w:rFonts w:cs="Times New Roman"/>
          <w:szCs w:val="24"/>
        </w:rPr>
        <w:t xml:space="preserve">, </w:t>
      </w:r>
      <m:oMath>
        <m:sSub>
          <m:sSubPr>
            <m:ctrlPr>
              <w:rPr>
                <w:rFonts w:ascii="Cambria Math" w:eastAsia="Cambria Math" w:hAnsi="Cambria Math" w:cs="Vrinda"/>
                <w:i/>
              </w:rPr>
            </m:ctrlPr>
          </m:sSubPr>
          <m:e>
            <m:r>
              <w:rPr>
                <w:rFonts w:ascii="Cambria Math" w:eastAsia="Cambria Math" w:hAnsi="Cambria Math" w:cs="Vrinda"/>
              </w:rPr>
              <m:t>ϕ</m:t>
            </m:r>
          </m:e>
          <m:sub>
            <m:r>
              <w:rPr>
                <w:rFonts w:ascii="Cambria Math" w:eastAsia="Cambria Math" w:hAnsi="Cambria Math" w:cs="Vrinda"/>
              </w:rPr>
              <m:t>y,z</m:t>
            </m:r>
          </m:sub>
        </m:sSub>
      </m:oMath>
      <w:r w:rsidRPr="004465BD">
        <w:t xml:space="preserve"> represents the common correlation factor across time periods</w:t>
      </w:r>
      <w:r w:rsidR="004A1C96" w:rsidRPr="004465BD">
        <w:t xml:space="preserve"> for </w:t>
      </w:r>
      <m:oMath>
        <m:sSub>
          <m:sSubPr>
            <m:ctrlPr>
              <w:rPr>
                <w:rFonts w:ascii="Cambria Math" w:hAnsi="Cambria Math"/>
                <w:i/>
              </w:rPr>
            </m:ctrlPr>
          </m:sSubPr>
          <m:e>
            <m:r>
              <w:rPr>
                <w:rFonts w:ascii="Cambria Math" w:hAnsi="Cambria Math"/>
              </w:rPr>
              <m:t>y</m:t>
            </m:r>
          </m:e>
          <m:sub>
            <m:r>
              <w:rPr>
                <w:rFonts w:ascii="Cambria Math" w:hAnsi="Cambria Math"/>
              </w:rPr>
              <m:t>qt</m:t>
            </m:r>
          </m:sub>
        </m:sSub>
      </m:oMath>
      <w:r w:rsidR="004A1C96" w:rsidRPr="004465BD">
        <w:rPr>
          <w:rFonts w:eastAsiaTheme="minorEastAsia"/>
        </w:rPr>
        <w:t xml:space="preserve"> and </w:t>
      </w:r>
      <m:oMath>
        <m:sSub>
          <m:sSubPr>
            <m:ctrlPr>
              <w:rPr>
                <w:rFonts w:ascii="Cambria Math" w:hAnsi="Cambria Math"/>
                <w:i/>
              </w:rPr>
            </m:ctrlPr>
          </m:sSubPr>
          <m:e>
            <m:r>
              <w:rPr>
                <w:rFonts w:ascii="Cambria Math" w:hAnsi="Cambria Math"/>
              </w:rPr>
              <m:t>z</m:t>
            </m:r>
          </m:e>
          <m:sub>
            <m:r>
              <w:rPr>
                <w:rFonts w:ascii="Cambria Math" w:hAnsi="Cambria Math"/>
              </w:rPr>
              <m:t>qt</m:t>
            </m:r>
          </m:sub>
        </m:sSub>
      </m:oMath>
      <w:r w:rsidRPr="004465BD">
        <w:t xml:space="preserve">, and </w:t>
      </w:r>
      <m:oMath>
        <m:sSub>
          <m:sSubPr>
            <m:ctrlPr>
              <w:rPr>
                <w:rFonts w:ascii="Cambria Math" w:eastAsia="Cambria Math" w:hAnsi="Cambria Math" w:cs="Vrinda"/>
                <w:i/>
              </w:rPr>
            </m:ctrlPr>
          </m:sSubPr>
          <m:e>
            <m:r>
              <w:rPr>
                <w:rFonts w:ascii="Cambria Math" w:eastAsia="Cambria Math" w:hAnsi="Cambria Math" w:cs="Vrinda"/>
              </w:rPr>
              <m:t>ρ</m:t>
            </m:r>
          </m:e>
          <m:sub>
            <m:r>
              <w:rPr>
                <w:rFonts w:ascii="Cambria Math" w:eastAsia="Cambria Math" w:hAnsi="Cambria Math" w:cs="Vrinda"/>
              </w:rPr>
              <m:t>y,z</m:t>
            </m:r>
          </m:sub>
        </m:sSub>
      </m:oMath>
      <w:r w:rsidRPr="004465BD">
        <w:t xml:space="preserve"> represents the dampening parameter that reduces the correlation over time</w:t>
      </w:r>
      <w:r w:rsidRPr="004465BD">
        <w:fldChar w:fldCharType="begin" w:fldLock="1"/>
      </w:r>
      <w:r w:rsidR="004968DA" w:rsidRPr="004465BD">
        <w:instrText>ADDIN CSL_CITATION {"citationItems":[{"id":"ITEM-1","itemData":{"DOI":"10.1016/j.jtrangeo.2014.01.013","ISSN":"09666923","abstract":"Installed in 2009, BIXI is the first major public bicycle-sharing system in Montreal, Canada. The BIXI system has been a success, accounting for more than one million trips annually. This success has increased the interest in exploring the factors affecting bicycle-sharing flows and usage. Using data compiled as minute-by-minute readings of bicycle availability at all the stations of the BIXI system between April and August 2012, this study contributes to the literature on bicycle-sharing. We examine the influence of meteorological data, temporal characteristics, bicycle infrastructure, land use and built environment attributes on arrival and departure flows at the station level using a multilevel approach to statistical modeling, which could easily be applied to other regions. The findings allow us to identify factors contributing to increased usage of bicycle-sharing in Montreal and to provide recommendations pertaining to station size and location decisions. The developed methodology and findings can be of benefit to city planners and engineers who are designing or modifying bicycle-sharing systems with the goal of maximizing usage and availability.","author":[{"dropping-particle":"","family":"Faghih-Imani","given":"Ahmadreza","non-dropping-particle":"","parse-names":false,"suffix":""},{"dropping-particle":"","family":"Eluru","given":"Naveen","non-dropping-particle":"","parse-names":false,"suffix":""},{"dropping-particle":"","family":"El-Geneidy","given":"Ahmed M.","non-dropping-particle":"","parse-names":false,"suffix":""},{"dropping-particle":"","family":"Rabbat","given":"Michael","non-dropping-particle":"","parse-names":false,"suffix":""},{"dropping-particle":"","family":"Haq","given":"Usama","non-dropping-particle":"","parse-names":false,"suffix":""}],"container-title":"Journal of Transport Geography","id":"ITEM-1","issued":{"date-parts":[["2014"]]},"page":"306-314","title":"How land-use and urban form impact bicycle flows: Evidence from the bicycle-sharing system (BIXI) in Montreal","type":"article-journal","volume":"41"},"uris":["http://www.mendeley.com/documents/?uuid=05842c30-2419-4bb6-9f6c-5199361fecf2"]}],"mendeley":{"formattedCitation":"(&lt;i&gt;18&lt;/i&gt;)","plainTextFormattedCitation":"(18)","previouslyFormattedCitation":"(&lt;i&gt;18&lt;/i&gt;)"},"properties":{"noteIndex":0},"schema":"https://github.com/citation-style-language/schema/raw/master/csl-citation.json"}</w:instrText>
      </w:r>
      <w:r w:rsidRPr="004465BD">
        <w:fldChar w:fldCharType="separate"/>
      </w:r>
      <w:r w:rsidR="003A5A4F" w:rsidRPr="004465BD">
        <w:rPr>
          <w:noProof/>
        </w:rPr>
        <w:t>(</w:t>
      </w:r>
      <w:r w:rsidR="003A5A4F" w:rsidRPr="004465BD">
        <w:rPr>
          <w:i/>
          <w:noProof/>
        </w:rPr>
        <w:t>18</w:t>
      </w:r>
      <w:r w:rsidR="003A5A4F" w:rsidRPr="004465BD">
        <w:rPr>
          <w:noProof/>
        </w:rPr>
        <w:t>)</w:t>
      </w:r>
      <w:r w:rsidRPr="004465BD">
        <w:fldChar w:fldCharType="end"/>
      </w:r>
      <w:r w:rsidRPr="004465BD">
        <w:t xml:space="preserve">. </w:t>
      </w:r>
      <w:r w:rsidR="00C7416E" w:rsidRPr="004465BD">
        <w:t xml:space="preserve">The correlation parameters </w:t>
      </w:r>
      <m:oMath>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hAnsi="Cambria Math"/>
          </w:rPr>
          <m:t xml:space="preserve">, and </m:t>
        </m:r>
        <m:sSub>
          <m:sSubPr>
            <m:ctrlPr>
              <w:rPr>
                <w:rFonts w:ascii="Cambria Math" w:hAnsi="Cambria Math"/>
                <w:i/>
              </w:rPr>
            </m:ctrlPr>
          </m:sSubPr>
          <m:e>
            <m:r>
              <w:rPr>
                <w:rFonts w:ascii="Cambria Math" w:hAnsi="Cambria Math"/>
              </w:rPr>
              <m:t>τ</m:t>
            </m:r>
          </m:e>
          <m:sub>
            <m:r>
              <w:rPr>
                <w:rFonts w:ascii="Cambria Math" w:hAnsi="Cambria Math"/>
              </w:rPr>
              <m:t>q</m:t>
            </m:r>
          </m:sub>
        </m:sSub>
      </m:oMath>
      <w:r w:rsidR="00C7416E" w:rsidRPr="004465BD">
        <w:t xml:space="preserve">, if significant, highlight the impact of county effects on the dependent variables.  </w:t>
      </w:r>
      <m:oMath>
        <m:sSub>
          <m:sSubPr>
            <m:ctrlPr>
              <w:rPr>
                <w:rFonts w:ascii="Cambria Math" w:hAnsi="Cambria Math"/>
                <w:i/>
              </w:rPr>
            </m:ctrlPr>
          </m:sSubPr>
          <m:e>
            <m:r>
              <w:rPr>
                <w:rFonts w:ascii="Cambria Math" w:eastAsia="Times New Roman" w:hAnsi="Cambria Math" w:cs="Times New Roman"/>
                <w:szCs w:val="24"/>
              </w:rPr>
              <m:t>ξ</m:t>
            </m:r>
          </m:e>
          <m:sub>
            <m:r>
              <w:rPr>
                <w:rFonts w:ascii="Cambria Math" w:hAnsi="Cambria Math"/>
              </w:rPr>
              <m:t>qt</m:t>
            </m:r>
          </m:sub>
        </m:sSub>
      </m:oMath>
      <w:r w:rsidR="006D4544" w:rsidRPr="004465BD">
        <w:rPr>
          <w:rFonts w:eastAsiaTheme="minorEastAsia"/>
        </w:rPr>
        <w:t xml:space="preserve"> , </w:t>
      </w:r>
      <m:oMath>
        <m:sSub>
          <m:sSubPr>
            <m:ctrlPr>
              <w:rPr>
                <w:rFonts w:ascii="Cambria Math" w:hAnsi="Cambria Math"/>
                <w:i/>
              </w:rPr>
            </m:ctrlPr>
          </m:sSubPr>
          <m:e>
            <m:r>
              <w:rPr>
                <w:rFonts w:ascii="Cambria Math" w:eastAsia="Times New Roman" w:hAnsi="Cambria Math" w:cs="Times New Roman"/>
                <w:szCs w:val="24"/>
              </w:rPr>
              <m:t>ε</m:t>
            </m:r>
          </m:e>
          <m:sub>
            <m:r>
              <w:rPr>
                <w:rFonts w:ascii="Cambria Math" w:hAnsi="Cambria Math"/>
              </w:rPr>
              <m:t>qt</m:t>
            </m:r>
          </m:sub>
        </m:sSub>
      </m:oMath>
      <w:r w:rsidR="006D4544" w:rsidRPr="004465BD">
        <w:rPr>
          <w:rFonts w:eastAsiaTheme="minorEastAsia"/>
        </w:rPr>
        <w:t xml:space="preserve"> are the random error term </w:t>
      </w:r>
      <w:r w:rsidR="006D4544" w:rsidRPr="004465BD">
        <w:rPr>
          <w:rFonts w:cs="Times New Roman"/>
        </w:rPr>
        <w:t xml:space="preserve">assumed to be </w:t>
      </w:r>
      <w:r w:rsidR="006D4544" w:rsidRPr="004465BD">
        <w:t xml:space="preserve">normally distributed across the dataset. </w:t>
      </w:r>
      <w:r w:rsidR="00704519" w:rsidRPr="004465BD">
        <w:t xml:space="preserve">Then the probability equation of the </w:t>
      </w:r>
      <w:r w:rsidR="0003174A" w:rsidRPr="004465BD">
        <w:t xml:space="preserve">joint model </w:t>
      </w:r>
      <w:r w:rsidR="00704519" w:rsidRPr="004465BD">
        <w:t>can be written as follow:</w:t>
      </w:r>
    </w:p>
    <w:p w14:paraId="5FDE4CC0" w14:textId="77777777" w:rsidR="00E44B9B" w:rsidRPr="004465BD" w:rsidRDefault="00E44B9B" w:rsidP="00EB5197">
      <w:pPr>
        <w:ind w:firstLine="432"/>
      </w:pPr>
    </w:p>
    <w:p w14:paraId="14582982" w14:textId="56DB7216" w:rsidR="00704519" w:rsidRPr="004465BD" w:rsidRDefault="009E32E6" w:rsidP="00EB5197">
      <w:pPr>
        <w:rPr>
          <w:rFonts w:eastAsiaTheme="minorEastAsia"/>
        </w:rPr>
      </w:pPr>
      <m:oMath>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hAnsi="Cambria Math"/>
                    <w:i/>
                  </w:rPr>
                </m:ctrlPr>
              </m:sSubPr>
              <m:e>
                <m:r>
                  <w:rPr>
                    <w:rFonts w:ascii="Cambria Math" w:hAnsi="Cambria Math"/>
                  </w:rPr>
                  <m:t>y</m:t>
                </m:r>
              </m:e>
              <m:sub>
                <m:r>
                  <w:rPr>
                    <w:rFonts w:ascii="Cambria Math" w:hAnsi="Cambria Math"/>
                  </w:rPr>
                  <m:t>qt</m:t>
                </m:r>
              </m:sub>
            </m:sSub>
          </m:e>
        </m:d>
        <m:r>
          <w:rPr>
            <w:rFonts w:ascii="Cambria Math" w:hAnsi="Cambria Math"/>
          </w:rPr>
          <m:t>=</m:t>
        </m:r>
        <m:r>
          <m:rPr>
            <m:sty m:val="p"/>
          </m:rPr>
          <w:rPr>
            <w:rFonts w:ascii="Cambria Math" w:eastAsiaTheme="minorEastAsia" w:hAnsi="Cambria Math" w:cs="Times New Roman"/>
            <w:szCs w:val="24"/>
          </w:rPr>
          <m:t>Ψ</m:t>
        </m:r>
        <m:r>
          <w:rPr>
            <w:rFonts w:ascii="Cambria Math" w:hAnsi="Cambria Math"/>
          </w:rPr>
          <m:t xml:space="preserve"> </m:t>
        </m:r>
        <m:d>
          <m:dPr>
            <m:ctrlPr>
              <w:rPr>
                <w:rFonts w:ascii="Cambria Math" w:hAnsi="Cambria Math"/>
                <w:i/>
              </w:rPr>
            </m:ctrlPr>
          </m:dPr>
          <m:e>
            <m:sSubSup>
              <m:sSubSupPr>
                <m:ctrlPr>
                  <w:rPr>
                    <w:rFonts w:ascii="Cambria Math" w:hAnsi="Cambria Math"/>
                    <w:i/>
                  </w:rPr>
                </m:ctrlPr>
              </m:sSubSupPr>
              <m:e>
                <m:r>
                  <w:rPr>
                    <w:rFonts w:ascii="Cambria Math" w:hAnsi="Cambria Math"/>
                  </w:rPr>
                  <m:t>y</m:t>
                </m:r>
              </m:e>
              <m:sub>
                <m:r>
                  <w:rPr>
                    <w:rFonts w:ascii="Cambria Math" w:hAnsi="Cambria Math"/>
                  </w:rPr>
                  <m:t>qt</m:t>
                </m:r>
              </m:sub>
              <m:sup>
                <m:r>
                  <w:rPr>
                    <w:rFonts w:ascii="Cambria Math" w:hAnsi="Cambria Math"/>
                  </w:rPr>
                  <m:t>~</m:t>
                </m:r>
              </m:sup>
            </m:sSubSup>
          </m:e>
        </m:d>
      </m:oMath>
      <w:r w:rsidR="00EB404F" w:rsidRPr="004465BD">
        <w:rPr>
          <w:rFonts w:eastAsiaTheme="minorEastAsia"/>
        </w:rPr>
        <w:t>/</w:t>
      </w:r>
      <m:oMath>
        <m:sSub>
          <m:sSubPr>
            <m:ctrlPr>
              <w:rPr>
                <w:rFonts w:ascii="Cambria Math" w:eastAsia="Calibri" w:hAnsi="Cambria Math" w:cs="Vrinda"/>
                <w:i/>
              </w:rPr>
            </m:ctrlPr>
          </m:sSubPr>
          <m:e>
            <m:r>
              <w:rPr>
                <w:rFonts w:ascii="Cambria Math" w:eastAsia="Calibri" w:hAnsi="Cambria Math" w:cs="Vrinda"/>
              </w:rPr>
              <m:t>σ</m:t>
            </m:r>
          </m:e>
          <m:sub>
            <m:r>
              <w:rPr>
                <w:rFonts w:ascii="Cambria Math" w:eastAsia="Calibri" w:hAnsi="Cambria Math" w:cs="Vrinda"/>
              </w:rPr>
              <m:t>y</m:t>
            </m:r>
          </m:sub>
        </m:sSub>
      </m:oMath>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D3410E" w:rsidRPr="004465BD">
        <w:rPr>
          <w:rFonts w:eastAsiaTheme="minorEastAsia"/>
        </w:rPr>
        <w:t xml:space="preserve">           </w:t>
      </w:r>
      <w:r w:rsidR="0044699A" w:rsidRPr="004465BD">
        <w:rPr>
          <w:rFonts w:eastAsiaTheme="minorEastAsia"/>
        </w:rPr>
        <w:t xml:space="preserve">      </w:t>
      </w:r>
      <w:r w:rsidR="001F426E" w:rsidRPr="004465BD">
        <w:rPr>
          <w:rFonts w:eastAsiaTheme="minorEastAsia"/>
        </w:rPr>
        <w:tab/>
        <w:t xml:space="preserve">     </w:t>
      </w:r>
      <w:r w:rsidR="0044699A" w:rsidRPr="004465BD">
        <w:rPr>
          <w:rFonts w:eastAsiaTheme="minorEastAsia"/>
        </w:rPr>
        <w:t xml:space="preserve"> </w:t>
      </w:r>
      <w:r w:rsidR="00897636" w:rsidRPr="004465BD">
        <w:rPr>
          <w:rFonts w:eastAsiaTheme="minorEastAsia"/>
        </w:rPr>
        <w:t xml:space="preserve">           </w:t>
      </w:r>
      <w:r w:rsidR="00864109" w:rsidRPr="004465BD">
        <w:rPr>
          <w:rFonts w:eastAsiaTheme="minorEastAsia"/>
        </w:rPr>
        <w:t xml:space="preserve">            </w:t>
      </w:r>
      <w:r w:rsidR="00897636" w:rsidRPr="004465BD">
        <w:rPr>
          <w:rFonts w:eastAsiaTheme="minorEastAsia"/>
        </w:rPr>
        <w:t xml:space="preserve"> </w:t>
      </w:r>
      <w:r w:rsidR="0044699A" w:rsidRPr="004465BD">
        <w:rPr>
          <w:rFonts w:eastAsiaTheme="minorEastAsia"/>
        </w:rPr>
        <w:t>(</w:t>
      </w:r>
      <w:r w:rsidR="00056CD8" w:rsidRPr="004465BD">
        <w:rPr>
          <w:rFonts w:eastAsiaTheme="minorEastAsia"/>
        </w:rPr>
        <w:t>6</w:t>
      </w:r>
      <w:r w:rsidR="0044699A" w:rsidRPr="004465BD">
        <w:rPr>
          <w:rFonts w:eastAsiaTheme="minorEastAsia"/>
        </w:rPr>
        <w:t>)</w:t>
      </w:r>
    </w:p>
    <w:p w14:paraId="50E9E4DC" w14:textId="77777777" w:rsidR="00E44B9B" w:rsidRPr="004465BD" w:rsidRDefault="00E44B9B" w:rsidP="00EB5197">
      <w:pPr>
        <w:rPr>
          <w:rFonts w:eastAsiaTheme="minorEastAsia"/>
        </w:rPr>
      </w:pPr>
    </w:p>
    <w:p w14:paraId="153D1C66" w14:textId="04DD93C4" w:rsidR="00704519" w:rsidRPr="004465BD" w:rsidRDefault="009E32E6" w:rsidP="00EB5197">
      <w:pPr>
        <w:rPr>
          <w:rFonts w:eastAsiaTheme="minorEastAsia"/>
        </w:rPr>
      </w:pPr>
      <m:oMath>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hAnsi="Cambria Math"/>
                    <w:i/>
                  </w:rPr>
                </m:ctrlPr>
              </m:sSubPr>
              <m:e>
                <m:r>
                  <w:rPr>
                    <w:rFonts w:ascii="Cambria Math" w:hAnsi="Cambria Math"/>
                  </w:rPr>
                  <m:t>z</m:t>
                </m:r>
              </m:e>
              <m:sub>
                <m:r>
                  <w:rPr>
                    <w:rFonts w:ascii="Cambria Math" w:hAnsi="Cambria Math"/>
                  </w:rPr>
                  <m:t>qt</m:t>
                </m:r>
              </m:sub>
            </m:sSub>
          </m:e>
        </m:d>
        <m:r>
          <w:rPr>
            <w:rFonts w:ascii="Cambria Math" w:hAnsi="Cambria Math"/>
          </w:rPr>
          <m:t>=</m:t>
        </m:r>
        <m:r>
          <m:rPr>
            <m:sty m:val="p"/>
          </m:rPr>
          <w:rPr>
            <w:rFonts w:ascii="Cambria Math" w:eastAsiaTheme="minorEastAsia" w:hAnsi="Cambria Math" w:cs="Times New Roman"/>
            <w:szCs w:val="24"/>
          </w:rPr>
          <m:t>Ψ</m:t>
        </m:r>
        <m:r>
          <w:rPr>
            <w:rFonts w:ascii="Cambria Math" w:hAnsi="Cambria Math"/>
          </w:rPr>
          <m:t xml:space="preserve"> </m:t>
        </m:r>
        <m:d>
          <m:dPr>
            <m:ctrlPr>
              <w:rPr>
                <w:rFonts w:ascii="Cambria Math" w:hAnsi="Cambria Math"/>
                <w:i/>
              </w:rPr>
            </m:ctrlPr>
          </m:dPr>
          <m:e>
            <m:sSubSup>
              <m:sSubSupPr>
                <m:ctrlPr>
                  <w:rPr>
                    <w:rFonts w:ascii="Cambria Math" w:hAnsi="Cambria Math"/>
                    <w:i/>
                  </w:rPr>
                </m:ctrlPr>
              </m:sSubSupPr>
              <m:e>
                <m:r>
                  <w:rPr>
                    <w:rFonts w:ascii="Cambria Math" w:hAnsi="Cambria Math"/>
                  </w:rPr>
                  <m:t>z</m:t>
                </m:r>
              </m:e>
              <m:sub>
                <m:r>
                  <w:rPr>
                    <w:rFonts w:ascii="Cambria Math" w:hAnsi="Cambria Math"/>
                  </w:rPr>
                  <m:t>qt</m:t>
                </m:r>
              </m:sub>
              <m:sup>
                <m:r>
                  <w:rPr>
                    <w:rFonts w:ascii="Cambria Math" w:hAnsi="Cambria Math"/>
                  </w:rPr>
                  <m:t>~</m:t>
                </m:r>
              </m:sup>
            </m:sSubSup>
          </m:e>
        </m:d>
      </m:oMath>
      <w:r w:rsidR="00EB404F" w:rsidRPr="004465BD">
        <w:rPr>
          <w:rFonts w:eastAsiaTheme="minorEastAsia"/>
        </w:rPr>
        <w:t>/</w:t>
      </w:r>
      <m:oMath>
        <m:sSub>
          <m:sSubPr>
            <m:ctrlPr>
              <w:rPr>
                <w:rFonts w:ascii="Cambria Math" w:eastAsia="Calibri" w:hAnsi="Cambria Math" w:cs="Vrinda"/>
                <w:i/>
              </w:rPr>
            </m:ctrlPr>
          </m:sSubPr>
          <m:e>
            <m:r>
              <w:rPr>
                <w:rFonts w:ascii="Cambria Math" w:eastAsia="Calibri" w:hAnsi="Cambria Math" w:cs="Vrinda"/>
              </w:rPr>
              <m:t>σ</m:t>
            </m:r>
          </m:e>
          <m:sub>
            <m:r>
              <w:rPr>
                <w:rFonts w:ascii="Cambria Math" w:eastAsia="Calibri" w:hAnsi="Cambria Math" w:cs="Vrinda"/>
              </w:rPr>
              <m:t>z</m:t>
            </m:r>
          </m:sub>
        </m:sSub>
      </m:oMath>
      <w:r w:rsidR="00EB404F"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t xml:space="preserve">     </w:t>
      </w:r>
      <w:r w:rsidR="00D3410E" w:rsidRPr="004465BD">
        <w:rPr>
          <w:rFonts w:eastAsiaTheme="minorEastAsia"/>
        </w:rPr>
        <w:tab/>
        <w:t xml:space="preserve">    </w:t>
      </w:r>
      <w:r w:rsidR="00D3410E" w:rsidRPr="004465BD">
        <w:rPr>
          <w:rFonts w:eastAsiaTheme="minorEastAsia"/>
        </w:rPr>
        <w:tab/>
        <w:t xml:space="preserve">    </w:t>
      </w:r>
      <w:r w:rsidR="0044699A" w:rsidRPr="004465BD">
        <w:rPr>
          <w:rFonts w:eastAsiaTheme="minorEastAsia"/>
        </w:rPr>
        <w:t xml:space="preserve">  (</w:t>
      </w:r>
      <w:r w:rsidR="00056CD8" w:rsidRPr="004465BD">
        <w:rPr>
          <w:rFonts w:eastAsiaTheme="minorEastAsia"/>
        </w:rPr>
        <w:t>7</w:t>
      </w:r>
      <w:r w:rsidR="0044699A" w:rsidRPr="004465BD">
        <w:rPr>
          <w:rFonts w:eastAsiaTheme="minorEastAsia"/>
        </w:rPr>
        <w:t>)</w:t>
      </w:r>
    </w:p>
    <w:p w14:paraId="36C15DEB" w14:textId="77777777" w:rsidR="00E44B9B" w:rsidRPr="004465BD" w:rsidRDefault="00E44B9B" w:rsidP="00EB5197">
      <w:pPr>
        <w:rPr>
          <w:rFonts w:eastAsiaTheme="minorEastAsia"/>
        </w:rPr>
      </w:pPr>
    </w:p>
    <w:p w14:paraId="091179D1" w14:textId="606CFC80" w:rsidR="00683C61" w:rsidRPr="004465BD" w:rsidRDefault="008D3795" w:rsidP="00EB5197">
      <w:pPr>
        <w:rPr>
          <w:rFonts w:eastAsiaTheme="minorEastAsia" w:cs="Times New Roman"/>
          <w:szCs w:val="24"/>
        </w:rPr>
      </w:pPr>
      <w:r w:rsidRPr="004465BD">
        <w:t>w</w:t>
      </w:r>
      <w:r w:rsidR="00132599" w:rsidRPr="004465BD">
        <w:t>here</w:t>
      </w:r>
      <w:r w:rsidR="0091611D" w:rsidRPr="004465BD">
        <w:t xml:space="preserve">, </w:t>
      </w:r>
      <w:r w:rsidR="00132599" w:rsidRPr="004465BD">
        <w:t xml:space="preserve"> </w:t>
      </w:r>
      <m:oMath>
        <m:sSubSup>
          <m:sSubSupPr>
            <m:ctrlPr>
              <w:rPr>
                <w:rFonts w:ascii="Cambria Math" w:hAnsi="Cambria Math"/>
                <w:i/>
              </w:rPr>
            </m:ctrlPr>
          </m:sSubSupPr>
          <m:e>
            <m:r>
              <w:rPr>
                <w:rFonts w:ascii="Cambria Math" w:hAnsi="Cambria Math"/>
              </w:rPr>
              <m:t>y</m:t>
            </m:r>
          </m:e>
          <m:sub>
            <m:r>
              <w:rPr>
                <w:rFonts w:ascii="Cambria Math" w:hAnsi="Cambria Math"/>
              </w:rPr>
              <m:t>qt</m:t>
            </m:r>
          </m:sub>
          <m:sup>
            <m:r>
              <w:rPr>
                <w:rFonts w:ascii="Cambria Math" w:hAnsi="Cambria Math"/>
              </w:rPr>
              <m:t>~</m:t>
            </m:r>
          </m:sup>
        </m:sSubSup>
      </m:oMath>
      <w:r w:rsidR="0091611D" w:rsidRPr="004465BD">
        <w:rPr>
          <w:rFonts w:eastAsiaTheme="minorEastAsia"/>
        </w:rPr>
        <w:t xml:space="preserve"> = </w:t>
      </w:r>
      <m:oMath>
        <m:sSub>
          <m:sSubPr>
            <m:ctrlPr>
              <w:rPr>
                <w:rFonts w:ascii="Cambria Math" w:hAnsi="Cambria Math"/>
                <w:i/>
              </w:rPr>
            </m:ctrlPr>
          </m:sSubPr>
          <m:e>
            <m:r>
              <w:rPr>
                <w:rFonts w:ascii="Cambria Math" w:hAnsi="Cambria Math"/>
              </w:rPr>
              <m:t>(y</m:t>
            </m:r>
          </m:e>
          <m:sub>
            <m:r>
              <w:rPr>
                <w:rFonts w:ascii="Cambria Math" w:hAnsi="Cambria Math"/>
              </w:rPr>
              <m:t>qt</m:t>
            </m:r>
          </m:sub>
        </m:sSub>
        <m:r>
          <w:rPr>
            <w:rFonts w:ascii="Cambria Math" w:hAnsi="Cambria Math"/>
          </w:rPr>
          <m:t>-</m:t>
        </m:r>
        <m:sSubSup>
          <m:sSubSupPr>
            <m:ctrlPr>
              <w:rPr>
                <w:rFonts w:ascii="Cambria Math" w:hAnsi="Cambria Math"/>
                <w:i/>
              </w:rPr>
            </m:ctrlPr>
          </m:sSubSupPr>
          <m:e>
            <m:r>
              <w:rPr>
                <w:rFonts w:ascii="Cambria Math" w:hAnsi="Cambria Math"/>
              </w:rPr>
              <m:t>y</m:t>
            </m:r>
          </m:e>
          <m:sub>
            <m:r>
              <w:rPr>
                <w:rFonts w:ascii="Cambria Math" w:hAnsi="Cambria Math"/>
              </w:rPr>
              <m:t>qt</m:t>
            </m:r>
          </m:sub>
          <m:sup>
            <m:r>
              <w:rPr>
                <w:rFonts w:ascii="Cambria Math" w:hAnsi="Cambria Math"/>
              </w:rPr>
              <m:t>*</m:t>
            </m:r>
          </m:sup>
        </m:sSubSup>
        <m:r>
          <w:rPr>
            <w:rFonts w:ascii="Cambria Math" w:hAnsi="Cambria Math"/>
          </w:rPr>
          <m:t>)</m:t>
        </m:r>
        <m:r>
          <m:rPr>
            <m:sty m:val="p"/>
          </m:rPr>
          <w:rPr>
            <w:rFonts w:ascii="Cambria Math" w:eastAsiaTheme="minorEastAsia" w:hAnsi="Cambria Math"/>
          </w:rPr>
          <m:t>/</m:t>
        </m:r>
        <m:sSub>
          <m:sSubPr>
            <m:ctrlPr>
              <w:rPr>
                <w:rFonts w:ascii="Cambria Math" w:eastAsia="Calibri" w:hAnsi="Cambria Math" w:cs="Vrinda"/>
                <w:i/>
              </w:rPr>
            </m:ctrlPr>
          </m:sSubPr>
          <m:e>
            <m:r>
              <w:rPr>
                <w:rFonts w:ascii="Cambria Math" w:eastAsia="Calibri" w:hAnsi="Cambria Math" w:cs="Vrinda"/>
              </w:rPr>
              <m:t>σ</m:t>
            </m:r>
          </m:e>
          <m:sub>
            <m:r>
              <w:rPr>
                <w:rFonts w:ascii="Cambria Math" w:eastAsia="Calibri" w:hAnsi="Cambria Math" w:cs="Vrinda"/>
              </w:rPr>
              <m:t>y</m:t>
            </m:r>
          </m:sub>
        </m:sSub>
      </m:oMath>
      <w:r w:rsidR="0091611D" w:rsidRPr="004465BD">
        <w:rPr>
          <w:rFonts w:eastAsiaTheme="minorEastAsia"/>
        </w:rPr>
        <w:t xml:space="preserve"> and </w:t>
      </w:r>
      <m:oMath>
        <m:sSubSup>
          <m:sSubSupPr>
            <m:ctrlPr>
              <w:rPr>
                <w:rFonts w:ascii="Cambria Math" w:hAnsi="Cambria Math"/>
                <w:i/>
              </w:rPr>
            </m:ctrlPr>
          </m:sSubSupPr>
          <m:e>
            <m:r>
              <w:rPr>
                <w:rFonts w:ascii="Cambria Math" w:hAnsi="Cambria Math"/>
              </w:rPr>
              <m:t>z</m:t>
            </m:r>
          </m:e>
          <m:sub>
            <m:r>
              <w:rPr>
                <w:rFonts w:ascii="Cambria Math" w:hAnsi="Cambria Math"/>
              </w:rPr>
              <m:t>qt</m:t>
            </m:r>
          </m:sub>
          <m:sup>
            <m:r>
              <w:rPr>
                <w:rFonts w:ascii="Cambria Math" w:hAnsi="Cambria Math"/>
              </w:rPr>
              <m:t>~</m:t>
            </m:r>
          </m:sup>
        </m:sSubSup>
      </m:oMath>
      <w:r w:rsidR="0091611D" w:rsidRPr="004465BD">
        <w:rPr>
          <w:rFonts w:eastAsiaTheme="minorEastAsia"/>
        </w:rPr>
        <w:t xml:space="preserve"> = </w:t>
      </w:r>
      <m:oMath>
        <m:sSub>
          <m:sSubPr>
            <m:ctrlPr>
              <w:rPr>
                <w:rFonts w:ascii="Cambria Math" w:hAnsi="Cambria Math"/>
                <w:i/>
              </w:rPr>
            </m:ctrlPr>
          </m:sSubPr>
          <m:e>
            <m:r>
              <w:rPr>
                <w:rFonts w:ascii="Cambria Math" w:hAnsi="Cambria Math"/>
              </w:rPr>
              <m:t>(z</m:t>
            </m:r>
          </m:e>
          <m:sub>
            <m:r>
              <w:rPr>
                <w:rFonts w:ascii="Cambria Math" w:hAnsi="Cambria Math"/>
              </w:rPr>
              <m:t>qt</m:t>
            </m:r>
          </m:sub>
        </m:sSub>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qt</m:t>
            </m:r>
          </m:sub>
          <m:sup>
            <m:r>
              <w:rPr>
                <w:rFonts w:ascii="Cambria Math" w:hAnsi="Cambria Math"/>
              </w:rPr>
              <m:t>*</m:t>
            </m:r>
          </m:sup>
        </m:sSubSup>
        <m:r>
          <w:rPr>
            <w:rFonts w:ascii="Cambria Math" w:hAnsi="Cambria Math"/>
          </w:rPr>
          <m:t>)</m:t>
        </m:r>
        <m:r>
          <m:rPr>
            <m:sty m:val="p"/>
          </m:rPr>
          <w:rPr>
            <w:rFonts w:ascii="Cambria Math" w:eastAsiaTheme="minorEastAsia" w:hAnsi="Cambria Math"/>
          </w:rPr>
          <m:t>/</m:t>
        </m:r>
        <m:sSub>
          <m:sSubPr>
            <m:ctrlPr>
              <w:rPr>
                <w:rFonts w:ascii="Cambria Math" w:eastAsia="Calibri" w:hAnsi="Cambria Math" w:cs="Vrinda"/>
                <w:i/>
              </w:rPr>
            </m:ctrlPr>
          </m:sSubPr>
          <m:e>
            <m:r>
              <w:rPr>
                <w:rFonts w:ascii="Cambria Math" w:eastAsia="Calibri" w:hAnsi="Cambria Math" w:cs="Vrinda"/>
              </w:rPr>
              <m:t>σ</m:t>
            </m:r>
          </m:e>
          <m:sub>
            <m:r>
              <w:rPr>
                <w:rFonts w:ascii="Cambria Math" w:eastAsia="Calibri" w:hAnsi="Cambria Math" w:cs="Vrinda"/>
              </w:rPr>
              <m:t>z</m:t>
            </m:r>
          </m:sub>
        </m:sSub>
      </m:oMath>
      <w:r w:rsidR="0091611D" w:rsidRPr="004465BD">
        <w:rPr>
          <w:rFonts w:eastAsiaTheme="minorEastAsia"/>
        </w:rPr>
        <w:t xml:space="preserve">. </w:t>
      </w:r>
      <m:oMath>
        <m:sSub>
          <m:sSubPr>
            <m:ctrlPr>
              <w:rPr>
                <w:rFonts w:ascii="Cambria Math" w:hAnsi="Cambria Math"/>
                <w:i/>
              </w:rPr>
            </m:ctrlPr>
          </m:sSubPr>
          <m:e>
            <m:r>
              <w:rPr>
                <w:rFonts w:ascii="Cambria Math" w:hAnsi="Cambria Math"/>
              </w:rPr>
              <m:t>p</m:t>
            </m:r>
          </m:e>
          <m:sub>
            <m:r>
              <w:rPr>
                <w:rFonts w:ascii="Cambria Math" w:hAnsi="Cambria Math"/>
              </w:rPr>
              <m:t>yqt</m:t>
            </m:r>
          </m:sub>
        </m:sSub>
      </m:oMath>
      <w:r w:rsidR="00132599" w:rsidRPr="004465BD">
        <w:rPr>
          <w:rFonts w:eastAsiaTheme="minorEastAsia"/>
        </w:rPr>
        <w:t xml:space="preserve"> and </w:t>
      </w:r>
      <m:oMath>
        <m:sSub>
          <m:sSubPr>
            <m:ctrlPr>
              <w:rPr>
                <w:rFonts w:ascii="Cambria Math" w:hAnsi="Cambria Math"/>
                <w:i/>
              </w:rPr>
            </m:ctrlPr>
          </m:sSubPr>
          <m:e>
            <m:r>
              <w:rPr>
                <w:rFonts w:ascii="Cambria Math" w:hAnsi="Cambria Math"/>
              </w:rPr>
              <m:t>p</m:t>
            </m:r>
          </m:e>
          <m:sub>
            <m:r>
              <w:rPr>
                <w:rFonts w:ascii="Cambria Math" w:hAnsi="Cambria Math"/>
              </w:rPr>
              <m:t>zqt</m:t>
            </m:r>
          </m:sub>
        </m:sSub>
      </m:oMath>
      <w:r w:rsidR="00132599" w:rsidRPr="004465BD">
        <w:rPr>
          <w:rFonts w:eastAsiaTheme="minorEastAsia"/>
        </w:rPr>
        <w:t xml:space="preserve"> is the probability that county q in </w:t>
      </w:r>
      <w:r w:rsidR="002923B2" w:rsidRPr="004465BD">
        <w:rPr>
          <w:rFonts w:eastAsiaTheme="minorEastAsia"/>
        </w:rPr>
        <w:t>week</w:t>
      </w:r>
      <w:r w:rsidR="00132599" w:rsidRPr="004465BD">
        <w:rPr>
          <w:rFonts w:eastAsiaTheme="minorEastAsia"/>
        </w:rPr>
        <w:t xml:space="preserve"> </w:t>
      </w:r>
      <w:r w:rsidR="00C507C7" w:rsidRPr="004465BD">
        <w:rPr>
          <w:rFonts w:eastAsiaTheme="minorEastAsia"/>
        </w:rPr>
        <w:t>t</w:t>
      </w:r>
      <w:r w:rsidR="00132599" w:rsidRPr="004465BD">
        <w:rPr>
          <w:rFonts w:eastAsiaTheme="minorEastAsia"/>
        </w:rPr>
        <w:t xml:space="preserve"> ha</w:t>
      </w:r>
      <w:r w:rsidR="009E32E6" w:rsidRPr="004465BD">
        <w:rPr>
          <w:rFonts w:eastAsiaTheme="minorEastAsia"/>
        </w:rPr>
        <w:t>s</w:t>
      </w:r>
      <w:r w:rsidR="00132599" w:rsidRPr="004465BD">
        <w:rPr>
          <w:rFonts w:eastAsiaTheme="minorEastAsia"/>
        </w:rPr>
        <w:t xml:space="preserve"> </w:t>
      </w:r>
      <m:oMath>
        <m:sSub>
          <m:sSubPr>
            <m:ctrlPr>
              <w:rPr>
                <w:rFonts w:ascii="Cambria Math" w:hAnsi="Cambria Math"/>
                <w:i/>
              </w:rPr>
            </m:ctrlPr>
          </m:sSubPr>
          <m:e>
            <m:r>
              <w:rPr>
                <w:rFonts w:ascii="Cambria Math" w:hAnsi="Cambria Math"/>
              </w:rPr>
              <m:t>y</m:t>
            </m:r>
          </m:e>
          <m:sub>
            <m:r>
              <w:rPr>
                <w:rFonts w:ascii="Cambria Math" w:hAnsi="Cambria Math"/>
              </w:rPr>
              <m:t>qt</m:t>
            </m:r>
          </m:sub>
        </m:sSub>
      </m:oMath>
      <w:r w:rsidR="00132599" w:rsidRPr="004465BD">
        <w:rPr>
          <w:rFonts w:eastAsiaTheme="minorEastAsia"/>
        </w:rPr>
        <w:t xml:space="preserve"> COVID-19 tranmission and </w:t>
      </w:r>
      <m:oMath>
        <m:sSub>
          <m:sSubPr>
            <m:ctrlPr>
              <w:rPr>
                <w:rFonts w:ascii="Cambria Math" w:hAnsi="Cambria Math"/>
                <w:i/>
              </w:rPr>
            </m:ctrlPr>
          </m:sSubPr>
          <m:e>
            <m:r>
              <w:rPr>
                <w:rFonts w:ascii="Cambria Math" w:hAnsi="Cambria Math"/>
              </w:rPr>
              <m:t>z</m:t>
            </m:r>
          </m:e>
          <m:sub>
            <m:r>
              <w:rPr>
                <w:rFonts w:ascii="Cambria Math" w:hAnsi="Cambria Math"/>
              </w:rPr>
              <m:t>qt</m:t>
            </m:r>
          </m:sub>
        </m:sSub>
      </m:oMath>
      <w:r w:rsidR="00132599" w:rsidRPr="004465BD">
        <w:rPr>
          <w:rFonts w:eastAsiaTheme="minorEastAsia"/>
        </w:rPr>
        <w:t xml:space="preserve"> average </w:t>
      </w:r>
      <w:r w:rsidR="003C58B2" w:rsidRPr="004465BD">
        <w:t>mobility</w:t>
      </w:r>
      <w:r w:rsidR="00132599" w:rsidRPr="004465BD">
        <w:rPr>
          <w:rFonts w:eastAsiaTheme="minorEastAsia"/>
        </w:rPr>
        <w:t xml:space="preserve">. </w:t>
      </w:r>
      <m:oMath>
        <m:r>
          <m:rPr>
            <m:sty m:val="p"/>
          </m:rPr>
          <w:rPr>
            <w:rFonts w:ascii="Cambria Math" w:eastAsiaTheme="minorEastAsia" w:hAnsi="Cambria Math" w:cs="Times New Roman"/>
            <w:szCs w:val="24"/>
          </w:rPr>
          <m:t>Ψ</m:t>
        </m:r>
      </m:oMath>
      <w:r w:rsidR="00AD4CD7" w:rsidRPr="004465BD">
        <w:rPr>
          <w:rFonts w:eastAsiaTheme="minorEastAsia"/>
        </w:rPr>
        <w:t xml:space="preserve"> </w:t>
      </w:r>
      <w:r w:rsidR="00625983" w:rsidRPr="004465BD">
        <w:rPr>
          <w:rFonts w:eastAsiaTheme="minorEastAsia"/>
        </w:rPr>
        <w:t xml:space="preserve">computes the standard normal probability distribution function. </w:t>
      </w:r>
      <w:r w:rsidR="00683C61" w:rsidRPr="004465BD">
        <w:rPr>
          <w:rFonts w:eastAsia="Times New Roman" w:cs="Times New Roman"/>
        </w:rPr>
        <w:t>I</w:t>
      </w:r>
      <w:r w:rsidR="00683C61" w:rsidRPr="004465BD">
        <w:rPr>
          <w:rFonts w:cs="Times New Roman"/>
        </w:rPr>
        <w:t xml:space="preserve">n estimating the model, it is necessary to specify the structure for </w:t>
      </w:r>
      <m:oMath>
        <m:r>
          <m:rPr>
            <m:sty m:val="bi"/>
          </m:rPr>
          <w:rPr>
            <w:rFonts w:ascii="Cambria Math" w:eastAsia="Times New Roman" w:hAnsi="Cambria Math" w:cs="Times New Roman"/>
            <w:szCs w:val="24"/>
          </w:rPr>
          <m:t>γ</m:t>
        </m:r>
        <m:r>
          <w:rPr>
            <w:rFonts w:ascii="Cambria Math" w:eastAsia="Times New Roman" w:hAnsi="Cambria Math" w:cs="Times New Roman"/>
            <w:szCs w:val="24"/>
          </w:rPr>
          <m:t xml:space="preserve">, </m:t>
        </m:r>
        <m:r>
          <m:rPr>
            <m:sty m:val="bi"/>
          </m:rPr>
          <w:rPr>
            <w:rFonts w:ascii="Cambria Math" w:eastAsia="Times New Roman" w:hAnsi="Cambria Math" w:cs="Times New Roman"/>
            <w:szCs w:val="24"/>
          </w:rPr>
          <m:t>ρ,</m:t>
        </m:r>
        <m:r>
          <w:rPr>
            <w:rFonts w:ascii="Cambria Math" w:eastAsia="Times New Roman" w:hAnsi="Cambria Math" w:cs="Times New Roman"/>
            <w:szCs w:val="24"/>
          </w:rPr>
          <m:t xml:space="preserve"> </m:t>
        </m:r>
        <m:r>
          <w:rPr>
            <w:rFonts w:ascii="Cambria Math" w:hAnsi="Cambria Math"/>
          </w:rPr>
          <m:t xml:space="preserve"> ε and τ</m:t>
        </m:r>
      </m:oMath>
      <w:r w:rsidR="00683C61" w:rsidRPr="004465BD">
        <w:rPr>
          <w:rFonts w:eastAsiaTheme="minorEastAsia" w:cs="Times New Roman"/>
          <w:szCs w:val="24"/>
        </w:rPr>
        <w:t xml:space="preserve"> represented by </w:t>
      </w:r>
      <w:r w:rsidR="0091611D" w:rsidRPr="004465BD">
        <w:rPr>
          <w:rFonts w:eastAsiaTheme="minorEastAsia" w:cs="Times New Roman"/>
          <w:szCs w:val="24"/>
        </w:rPr>
        <w:t>Ω</w:t>
      </w:r>
      <w:r w:rsidR="00683C61" w:rsidRPr="004465BD">
        <w:rPr>
          <w:rFonts w:eastAsiaTheme="minorEastAsia" w:cs="Times New Roman"/>
          <w:szCs w:val="24"/>
        </w:rPr>
        <w:t xml:space="preserve">. In this paper, it is assumed that these elements are drawn from independent </w:t>
      </w:r>
      <w:r w:rsidR="00683C61" w:rsidRPr="004465BD">
        <w:rPr>
          <w:rFonts w:eastAsia="Times New Roman" w:cs="Times New Roman"/>
          <w:szCs w:val="24"/>
        </w:rPr>
        <w:t xml:space="preserve">normal distribution: </w:t>
      </w:r>
      <m:oMath>
        <m:r>
          <m:rPr>
            <m:sty m:val="p"/>
          </m:rPr>
          <w:rPr>
            <w:rFonts w:ascii="Cambria Math" w:eastAsiaTheme="minorEastAsia" w:hAnsi="Cambria Math" w:cs="Times New Roman"/>
            <w:szCs w:val="24"/>
          </w:rPr>
          <m:t>Ω</m:t>
        </m:r>
        <m:r>
          <w:rPr>
            <w:rFonts w:ascii="Cambria Math" w:eastAsia="Times New Roman" w:hAnsi="Cambria Math" w:cs="Times New Roman"/>
            <w:szCs w:val="24"/>
          </w:rPr>
          <m:t>~N</m:t>
        </m:r>
        <m:d>
          <m:dPr>
            <m:ctrlPr>
              <w:rPr>
                <w:rFonts w:ascii="Cambria Math" w:eastAsia="Times New Roman" w:hAnsi="Cambria Math" w:cs="Times New Roman"/>
                <w:i/>
                <w:szCs w:val="24"/>
              </w:rPr>
            </m:ctrlPr>
          </m:dPr>
          <m:e>
            <m:r>
              <w:rPr>
                <w:rFonts w:ascii="Cambria Math" w:eastAsia="Times New Roman" w:hAnsi="Cambria Math" w:cs="Times New Roman"/>
                <w:szCs w:val="24"/>
              </w:rPr>
              <m:t xml:space="preserve">0, </m:t>
            </m:r>
            <m:d>
              <m:dPr>
                <m:ctrlPr>
                  <w:rPr>
                    <w:rFonts w:ascii="Cambria Math" w:eastAsia="Times New Roman" w:hAnsi="Cambria Math" w:cs="Times New Roman"/>
                    <w:i/>
                    <w:szCs w:val="24"/>
                  </w:rPr>
                </m:ctrlPr>
              </m:dPr>
              <m:e>
                <m:sSup>
                  <m:sSupPr>
                    <m:ctrlPr>
                      <w:rPr>
                        <w:rFonts w:ascii="Cambria Math" w:eastAsiaTheme="minorEastAsia" w:hAnsi="Cambria Math" w:cs="Times New Roman"/>
                        <w:b/>
                        <w:i/>
                      </w:rPr>
                    </m:ctrlPr>
                  </m:sSupPr>
                  <m:e>
                    <m:sSup>
                      <m:sSupPr>
                        <m:ctrlPr>
                          <w:rPr>
                            <w:rFonts w:ascii="Cambria Math" w:eastAsia="Times New Roman" w:hAnsi="Cambria Math" w:cs="Times New Roman"/>
                            <w:b/>
                            <w:i/>
                            <w:szCs w:val="24"/>
                          </w:rPr>
                        </m:ctrlPr>
                      </m:sSupPr>
                      <m:e>
                        <m:r>
                          <m:rPr>
                            <m:sty m:val="bi"/>
                          </m:rPr>
                          <w:rPr>
                            <w:rFonts w:ascii="Cambria Math" w:eastAsia="Times New Roman" w:hAnsi="Cambria Math" w:cs="Times New Roman"/>
                            <w:szCs w:val="24"/>
                          </w:rPr>
                          <m:t>π</m:t>
                        </m:r>
                      </m:e>
                      <m:sup>
                        <m:r>
                          <m:rPr>
                            <m:sty m:val="bi"/>
                          </m:rPr>
                          <w:rPr>
                            <w:rFonts w:ascii="Cambria Math" w:eastAsia="Times New Roman" w:hAnsi="Cambria Math" w:cs="Times New Roman"/>
                            <w:szCs w:val="24"/>
                          </w:rPr>
                          <m:t>'</m:t>
                        </m:r>
                      </m:sup>
                    </m:sSup>
                  </m:e>
                  <m:sup>
                    <m:r>
                      <m:rPr>
                        <m:sty m:val="bi"/>
                      </m:rPr>
                      <w:rPr>
                        <w:rFonts w:ascii="Cambria Math" w:eastAsiaTheme="minorEastAsia" w:hAnsi="Cambria Math" w:cs="Times New Roman"/>
                      </w:rPr>
                      <m:t>2</m:t>
                    </m:r>
                  </m:sup>
                </m:sSup>
                <m:r>
                  <m:rPr>
                    <m:sty m:val="p"/>
                  </m:rPr>
                  <w:rPr>
                    <w:rFonts w:ascii="Cambria Math" w:eastAsiaTheme="minorEastAsia" w:hAnsi="Cambria Math" w:cs="Times New Roman"/>
                  </w:rPr>
                  <m:t xml:space="preserve">, </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Φ</m:t>
                    </m:r>
                    <m:ctrlPr>
                      <w:rPr>
                        <w:rFonts w:ascii="Cambria Math" w:eastAsiaTheme="minorEastAsia" w:hAnsi="Cambria Math" w:cs="Times New Roman"/>
                      </w:rPr>
                    </m:ctrlP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σ</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sSup>
                  <m:sSupPr>
                    <m:ctrlPr>
                      <w:rPr>
                        <w:rFonts w:ascii="Cambria Math" w:eastAsia="Times New Roman" w:hAnsi="Cambria Math" w:cs="Times New Roman"/>
                        <w:i/>
                        <w:szCs w:val="24"/>
                      </w:rPr>
                    </m:ctrlPr>
                  </m:sSupPr>
                  <m:e>
                    <m:r>
                      <m:rPr>
                        <m:sty m:val="bi"/>
                      </m:rPr>
                      <w:rPr>
                        <w:rFonts w:ascii="Cambria Math" w:eastAsia="Times New Roman" w:hAnsi="Cambria Math" w:cs="Times New Roman"/>
                        <w:szCs w:val="24"/>
                      </w:rPr>
                      <m:t>ν</m:t>
                    </m:r>
                  </m:e>
                  <m:sup>
                    <m:r>
                      <w:rPr>
                        <w:rFonts w:ascii="Cambria Math" w:eastAsia="Times New Roman" w:hAnsi="Cambria Math" w:cs="Times New Roman"/>
                        <w:szCs w:val="24"/>
                      </w:rPr>
                      <m:t>2</m:t>
                    </m:r>
                  </m:sup>
                </m:sSup>
                <m:r>
                  <m:rPr>
                    <m:sty m:val="bi"/>
                  </m:rPr>
                  <w:rPr>
                    <w:rFonts w:ascii="Cambria Math" w:eastAsiaTheme="minorEastAsia" w:hAnsi="Cambria Math" w:cs="Times New Roman"/>
                  </w:rPr>
                  <m:t xml:space="preserve"> </m:t>
                </m:r>
                <m:ctrlPr>
                  <w:rPr>
                    <w:rFonts w:ascii="Cambria Math" w:eastAsiaTheme="minorEastAsia" w:hAnsi="Cambria Math" w:cs="Times New Roman"/>
                    <w:i/>
                    <w:szCs w:val="24"/>
                  </w:rPr>
                </m:ctrlPr>
              </m:e>
            </m:d>
            <m:ctrlPr>
              <w:rPr>
                <w:rFonts w:ascii="Cambria Math" w:eastAsiaTheme="minorEastAsia" w:hAnsi="Cambria Math" w:cs="Times New Roman"/>
                <w:i/>
                <w:szCs w:val="24"/>
              </w:rPr>
            </m:ctrlPr>
          </m:e>
        </m:d>
      </m:oMath>
      <w:r w:rsidR="00683C61" w:rsidRPr="004465BD">
        <w:rPr>
          <w:rFonts w:eastAsiaTheme="minorEastAsia" w:cs="Times New Roman"/>
          <w:szCs w:val="24"/>
        </w:rPr>
        <w:t xml:space="preserve">. </w:t>
      </w:r>
      <w:r w:rsidR="00151741" w:rsidRPr="004465BD">
        <w:rPr>
          <w:rFonts w:eastAsiaTheme="minorEastAsia" w:cs="Times New Roman"/>
          <w:szCs w:val="24"/>
        </w:rPr>
        <w:t xml:space="preserve">Thus, conditional on </w:t>
      </w:r>
      <w:r w:rsidR="00E72E70" w:rsidRPr="004465BD">
        <w:rPr>
          <w:rFonts w:eastAsiaTheme="minorEastAsia" w:cs="Times New Roman"/>
          <w:szCs w:val="24"/>
        </w:rPr>
        <w:t>Ω</w:t>
      </w:r>
      <w:r w:rsidR="00151741" w:rsidRPr="004465BD">
        <w:rPr>
          <w:rFonts w:eastAsiaTheme="minorEastAsia" w:cs="Times New Roman"/>
          <w:szCs w:val="24"/>
        </w:rPr>
        <w:t xml:space="preserve">, the likelihood function across </w:t>
      </w:r>
      <w:r w:rsidR="00E72E70" w:rsidRPr="004465BD">
        <w:rPr>
          <w:rFonts w:eastAsiaTheme="minorEastAsia" w:cs="Times New Roman"/>
          <w:szCs w:val="24"/>
        </w:rPr>
        <w:t>county</w:t>
      </w:r>
      <w:r w:rsidR="00151741" w:rsidRPr="004465BD">
        <w:rPr>
          <w:rFonts w:eastAsiaTheme="minorEastAsia" w:cs="Times New Roman"/>
          <w:szCs w:val="24"/>
        </w:rPr>
        <w:t xml:space="preserve"> can be expressed as</w:t>
      </w:r>
      <w:r w:rsidR="003A688F" w:rsidRPr="004465BD">
        <w:rPr>
          <w:rFonts w:eastAsiaTheme="minorEastAsia" w:cs="Times New Roman"/>
          <w:szCs w:val="24"/>
        </w:rPr>
        <w:t>:</w:t>
      </w:r>
    </w:p>
    <w:p w14:paraId="28F9C687" w14:textId="16B14084" w:rsidR="00C85C3B" w:rsidRPr="004465BD" w:rsidRDefault="00000000" w:rsidP="00EB5197">
      <w:pPr>
        <w:spacing w:before="360" w:after="360" w:line="276" w:lineRule="auto"/>
        <w:rPr>
          <w:rFonts w:eastAsiaTheme="minorEastAsia"/>
        </w:rPr>
      </w:p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L</m:t>
            </m:r>
          </m:e>
          <m:sub>
            <m:r>
              <w:rPr>
                <w:rFonts w:ascii="Cambria Math" w:eastAsia="Times New Roman" w:hAnsi="Cambria Math" w:cs="Times New Roman"/>
                <w:szCs w:val="24"/>
              </w:rPr>
              <m:t>q</m:t>
            </m:r>
          </m:sub>
        </m:sSub>
        <m:r>
          <w:rPr>
            <w:rFonts w:ascii="Cambria Math" w:eastAsia="Times New Roman" w:hAnsi="Cambria Math" w:cs="Times New Roman"/>
            <w:szCs w:val="24"/>
          </w:rPr>
          <m:t>=</m:t>
        </m:r>
        <m:nary>
          <m:naryPr>
            <m:chr m:val="∏"/>
            <m:limLoc m:val="undOvr"/>
            <m:ctrlPr>
              <w:rPr>
                <w:rFonts w:ascii="Cambria Math" w:eastAsia="Times New Roman" w:hAnsi="Cambria Math" w:cs="Times New Roman"/>
                <w:i/>
                <w:szCs w:val="24"/>
              </w:rPr>
            </m:ctrlPr>
          </m:naryPr>
          <m:sub>
            <m:r>
              <w:rPr>
                <w:rFonts w:ascii="Cambria Math" w:eastAsia="Times New Roman" w:hAnsi="Cambria Math" w:cs="Times New Roman"/>
                <w:szCs w:val="24"/>
              </w:rPr>
              <m:t>k=1</m:t>
            </m:r>
          </m:sub>
          <m:sup>
            <m:r>
              <w:rPr>
                <w:rFonts w:ascii="Cambria Math" w:eastAsia="Times New Roman" w:hAnsi="Cambria Math" w:cs="Times New Roman"/>
                <w:szCs w:val="24"/>
              </w:rPr>
              <m:t>K</m:t>
            </m:r>
          </m:sup>
          <m:e>
            <m:d>
              <m:dPr>
                <m:begChr m:val="["/>
                <m:endChr m:val="]"/>
                <m:ctrlPr>
                  <w:rPr>
                    <w:rFonts w:ascii="Cambria Math" w:eastAsia="Times New Roman" w:hAnsi="Cambria Math" w:cs="Times New Roman"/>
                    <w:i/>
                    <w:szCs w:val="24"/>
                  </w:rPr>
                </m:ctrlPr>
              </m:dPr>
              <m:e>
                <m:d>
                  <m:dPr>
                    <m:ctrlPr>
                      <w:rPr>
                        <w:rFonts w:ascii="Cambria Math" w:eastAsia="Times New Roman" w:hAnsi="Cambria Math" w:cs="Times New Roman"/>
                        <w:i/>
                        <w:szCs w:val="24"/>
                      </w:rPr>
                    </m:ctrlPr>
                  </m:dPr>
                  <m:e>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hAnsi="Cambria Math"/>
                                <w:i/>
                              </w:rPr>
                            </m:ctrlPr>
                          </m:sSubPr>
                          <m:e>
                            <m:r>
                              <w:rPr>
                                <w:rFonts w:ascii="Cambria Math" w:hAnsi="Cambria Math"/>
                              </w:rPr>
                              <m:t>y</m:t>
                            </m:r>
                          </m:e>
                          <m:sub>
                            <m:r>
                              <w:rPr>
                                <w:rFonts w:ascii="Cambria Math" w:hAnsi="Cambria Math"/>
                              </w:rPr>
                              <m:t>qt</m:t>
                            </m:r>
                          </m:sub>
                        </m:sSub>
                      </m:e>
                    </m:d>
                    <m:r>
                      <w:rPr>
                        <w:rFonts w:ascii="Cambria Math" w:eastAsia="Calibri" w:hAnsi="Cambria Math" w:cs="Times New Roman"/>
                      </w:rPr>
                      <m:t>× P</m:t>
                    </m:r>
                    <m:d>
                      <m:dPr>
                        <m:ctrlPr>
                          <w:rPr>
                            <w:rFonts w:ascii="Cambria Math" w:eastAsia="Calibri" w:hAnsi="Cambria Math" w:cs="Times New Roman"/>
                            <w:i/>
                          </w:rPr>
                        </m:ctrlPr>
                      </m:dPr>
                      <m:e>
                        <m:sSub>
                          <m:sSubPr>
                            <m:ctrlPr>
                              <w:rPr>
                                <w:rFonts w:ascii="Cambria Math" w:hAnsi="Cambria Math"/>
                                <w:i/>
                              </w:rPr>
                            </m:ctrlPr>
                          </m:sSubPr>
                          <m:e>
                            <m:r>
                              <w:rPr>
                                <w:rFonts w:ascii="Cambria Math" w:hAnsi="Cambria Math"/>
                              </w:rPr>
                              <m:t>z</m:t>
                            </m:r>
                          </m:e>
                          <m:sub>
                            <m:r>
                              <w:rPr>
                                <w:rFonts w:ascii="Cambria Math" w:hAnsi="Cambria Math"/>
                              </w:rPr>
                              <m:t>qt</m:t>
                            </m:r>
                          </m:sub>
                        </m:sSub>
                      </m:e>
                    </m:d>
                  </m:e>
                </m:d>
              </m:e>
            </m:d>
          </m:e>
        </m:nary>
      </m:oMath>
      <w:r w:rsidR="00C85C3B" w:rsidRPr="004465BD">
        <w:rPr>
          <w:rFonts w:eastAsiaTheme="minorEastAsia"/>
        </w:rPr>
        <w:tab/>
      </w:r>
      <w:r w:rsidR="00C85C3B" w:rsidRPr="004465BD">
        <w:rPr>
          <w:rFonts w:eastAsiaTheme="minorEastAsia"/>
        </w:rPr>
        <w:tab/>
      </w:r>
      <w:r w:rsidR="00C85C3B" w:rsidRPr="004465BD">
        <w:rPr>
          <w:rFonts w:eastAsiaTheme="minorEastAsia"/>
        </w:rPr>
        <w:tab/>
      </w:r>
      <w:r w:rsidR="00C85C3B" w:rsidRPr="004465BD">
        <w:rPr>
          <w:rFonts w:eastAsiaTheme="minorEastAsia"/>
        </w:rPr>
        <w:tab/>
      </w:r>
      <w:r w:rsidR="00C85C3B" w:rsidRPr="004465BD">
        <w:rPr>
          <w:rFonts w:eastAsiaTheme="minorEastAsia"/>
        </w:rPr>
        <w:tab/>
      </w:r>
      <w:r w:rsidR="00C85C3B" w:rsidRPr="004465BD">
        <w:rPr>
          <w:rFonts w:eastAsiaTheme="minorEastAsia"/>
        </w:rPr>
        <w:tab/>
        <w:t xml:space="preserve">       </w:t>
      </w:r>
      <w:r w:rsidR="00C85C3B" w:rsidRPr="004465BD">
        <w:rPr>
          <w:rFonts w:eastAsiaTheme="minorEastAsia"/>
        </w:rPr>
        <w:tab/>
        <w:t xml:space="preserve">      </w:t>
      </w:r>
      <w:r w:rsidR="00E661E7" w:rsidRPr="004465BD">
        <w:rPr>
          <w:rFonts w:eastAsiaTheme="minorEastAsia"/>
        </w:rPr>
        <w:tab/>
        <w:t xml:space="preserve">      </w:t>
      </w:r>
      <w:r w:rsidR="00C85C3B" w:rsidRPr="004465BD">
        <w:rPr>
          <w:rFonts w:eastAsiaTheme="minorEastAsia"/>
        </w:rPr>
        <w:t xml:space="preserve"> (</w:t>
      </w:r>
      <w:r w:rsidR="00256F4D" w:rsidRPr="004465BD">
        <w:rPr>
          <w:rFonts w:eastAsiaTheme="minorEastAsia"/>
        </w:rPr>
        <w:t>8</w:t>
      </w:r>
      <w:r w:rsidR="00C85C3B" w:rsidRPr="004465BD">
        <w:rPr>
          <w:rFonts w:eastAsiaTheme="minorEastAsia"/>
        </w:rPr>
        <w:t>)</w:t>
      </w:r>
    </w:p>
    <w:p w14:paraId="3EF7585B" w14:textId="5A2139B6" w:rsidR="00C85C3B" w:rsidRPr="004465BD" w:rsidRDefault="00C85C3B" w:rsidP="00EB5197">
      <w:pPr>
        <w:rPr>
          <w:rFonts w:eastAsiaTheme="minorEastAsia" w:cs="Times New Roman"/>
          <w:szCs w:val="24"/>
        </w:rPr>
      </w:pPr>
      <w:r w:rsidRPr="004465BD">
        <w:t>where K is the number of repetitions. In our analysis, we estimate the correlation</w:t>
      </w:r>
      <w:r w:rsidRPr="004465BD">
        <w:rPr>
          <w:rFonts w:eastAsiaTheme="minorEastAsia"/>
        </w:rPr>
        <w:t xml:space="preserve"> for two repetition resolutions including (a) correlation for all records at weekly level (N=74 weeks), and monthly level (M= 18). </w:t>
      </w:r>
      <w:r w:rsidRPr="004465BD">
        <w:t>The flexibility offered by the mixed model for testing dependencies enhances the model development exercise over its simpler form. Of these two models, we will select the model that provides the best result in terms of statistical data fit and variable interpretation. The unconditional</w:t>
      </w:r>
      <w:r w:rsidRPr="004465BD">
        <w:rPr>
          <w:rFonts w:eastAsiaTheme="minorEastAsia" w:cs="Times New Roman"/>
          <w:szCs w:val="24"/>
        </w:rPr>
        <w:t xml:space="preserve"> log-likelihood function for individual county </w:t>
      </w:r>
      <w:r w:rsidRPr="004465BD">
        <w:rPr>
          <w:rFonts w:eastAsiaTheme="minorEastAsia" w:cs="Times New Roman"/>
          <w:i/>
          <w:iCs/>
          <w:szCs w:val="24"/>
        </w:rPr>
        <w:t>q</w:t>
      </w:r>
      <w:r w:rsidRPr="004465BD">
        <w:rPr>
          <w:rFonts w:eastAsiaTheme="minorEastAsia" w:cs="Times New Roman"/>
          <w:szCs w:val="24"/>
        </w:rPr>
        <w:t xml:space="preserve"> is: </w:t>
      </w:r>
    </w:p>
    <w:p w14:paraId="61D9AD2C" w14:textId="5A304EF1" w:rsidR="00E72E70" w:rsidRPr="004465BD" w:rsidRDefault="00000000" w:rsidP="00EB5197">
      <w:pPr>
        <w:spacing w:before="360" w:after="360" w:line="276" w:lineRule="auto"/>
        <w:rPr>
          <w:rFonts w:eastAsia="Calibri" w:cs="Times New Roman"/>
        </w:rPr>
      </w:pPr>
      <m:oMath>
        <m:sSub>
          <m:sSubPr>
            <m:ctrlPr>
              <w:rPr>
                <w:rFonts w:ascii="Cambria Math" w:eastAsia="Times New Roman" w:hAnsi="Cambria Math" w:cs="Times New Roman"/>
                <w:i/>
                <w:szCs w:val="24"/>
              </w:rPr>
            </m:ctrlPr>
          </m:sSubPr>
          <m:e>
            <m:r>
              <w:rPr>
                <w:rFonts w:ascii="Cambria Math" w:eastAsia="Times New Roman" w:hAnsi="Cambria Math" w:cs="Times New Roman"/>
                <w:szCs w:val="24"/>
              </w:rPr>
              <m:t>L</m:t>
            </m:r>
          </m:e>
          <m:sub>
            <m:r>
              <w:rPr>
                <w:rFonts w:ascii="Cambria Math" w:eastAsia="Times New Roman" w:hAnsi="Cambria Math" w:cs="Times New Roman"/>
                <w:szCs w:val="24"/>
              </w:rPr>
              <m:t>q</m:t>
            </m:r>
          </m:sub>
        </m:sSub>
        <m:r>
          <w:rPr>
            <w:rFonts w:ascii="Cambria Math" w:eastAsia="Times New Roman" w:hAnsi="Cambria Math" w:cs="Times New Roman"/>
            <w:szCs w:val="24"/>
          </w:rPr>
          <m:t>=</m:t>
        </m:r>
        <m:nary>
          <m:naryPr>
            <m:limLoc m:val="subSup"/>
            <m:ctrlPr>
              <w:rPr>
                <w:rFonts w:ascii="Cambria Math" w:eastAsia="Times New Roman" w:hAnsi="Cambria Math" w:cs="Times New Roman"/>
                <w:i/>
                <w:szCs w:val="24"/>
              </w:rPr>
            </m:ctrlPr>
          </m:naryPr>
          <m:sub>
            <m:r>
              <m:rPr>
                <m:sty m:val="p"/>
              </m:rPr>
              <w:rPr>
                <w:rFonts w:ascii="Cambria Math" w:eastAsiaTheme="minorEastAsia" w:hAnsi="Cambria Math" w:cs="Times New Roman"/>
                <w:szCs w:val="24"/>
              </w:rPr>
              <m:t>Ω</m:t>
            </m:r>
          </m:sub>
          <m:sup/>
          <m:e>
            <m:nary>
              <m:naryPr>
                <m:chr m:val="∏"/>
                <m:limLoc m:val="undOvr"/>
                <m:ctrlPr>
                  <w:rPr>
                    <w:rFonts w:ascii="Cambria Math" w:eastAsia="Times New Roman" w:hAnsi="Cambria Math" w:cs="Times New Roman"/>
                    <w:i/>
                    <w:szCs w:val="24"/>
                  </w:rPr>
                </m:ctrlPr>
              </m:naryPr>
              <m:sub>
                <m:r>
                  <w:rPr>
                    <w:rFonts w:ascii="Cambria Math" w:eastAsia="Times New Roman" w:hAnsi="Cambria Math" w:cs="Times New Roman"/>
                    <w:szCs w:val="24"/>
                  </w:rPr>
                  <m:t>k=1</m:t>
                </m:r>
              </m:sub>
              <m:sup>
                <m:r>
                  <w:rPr>
                    <w:rFonts w:ascii="Cambria Math" w:eastAsia="Times New Roman" w:hAnsi="Cambria Math" w:cs="Times New Roman"/>
                    <w:szCs w:val="24"/>
                  </w:rPr>
                  <m:t>K</m:t>
                </m:r>
              </m:sup>
              <m:e>
                <m:d>
                  <m:dPr>
                    <m:begChr m:val="["/>
                    <m:endChr m:val="]"/>
                    <m:ctrlPr>
                      <w:rPr>
                        <w:rFonts w:ascii="Cambria Math" w:eastAsia="Times New Roman" w:hAnsi="Cambria Math" w:cs="Times New Roman"/>
                        <w:i/>
                        <w:szCs w:val="24"/>
                      </w:rPr>
                    </m:ctrlPr>
                  </m:dPr>
                  <m:e>
                    <m:d>
                      <m:dPr>
                        <m:ctrlPr>
                          <w:rPr>
                            <w:rFonts w:ascii="Cambria Math" w:eastAsia="Times New Roman" w:hAnsi="Cambria Math" w:cs="Times New Roman"/>
                            <w:i/>
                            <w:szCs w:val="24"/>
                          </w:rPr>
                        </m:ctrlPr>
                      </m:dPr>
                      <m:e>
                        <m:r>
                          <w:rPr>
                            <w:rFonts w:ascii="Cambria Math" w:eastAsia="Calibri" w:hAnsi="Cambria Math" w:cs="Times New Roman"/>
                          </w:rPr>
                          <m:t>P</m:t>
                        </m:r>
                        <m:d>
                          <m:dPr>
                            <m:ctrlPr>
                              <w:rPr>
                                <w:rFonts w:ascii="Cambria Math" w:eastAsia="Calibri" w:hAnsi="Cambria Math" w:cs="Times New Roman"/>
                                <w:i/>
                              </w:rPr>
                            </m:ctrlPr>
                          </m:dPr>
                          <m:e>
                            <m:sSub>
                              <m:sSubPr>
                                <m:ctrlPr>
                                  <w:rPr>
                                    <w:rFonts w:ascii="Cambria Math" w:hAnsi="Cambria Math"/>
                                    <w:i/>
                                  </w:rPr>
                                </m:ctrlPr>
                              </m:sSubPr>
                              <m:e>
                                <m:r>
                                  <w:rPr>
                                    <w:rFonts w:ascii="Cambria Math" w:hAnsi="Cambria Math"/>
                                  </w:rPr>
                                  <m:t>y</m:t>
                                </m:r>
                              </m:e>
                              <m:sub>
                                <m:r>
                                  <w:rPr>
                                    <w:rFonts w:ascii="Cambria Math" w:hAnsi="Cambria Math"/>
                                  </w:rPr>
                                  <m:t>qt</m:t>
                                </m:r>
                              </m:sub>
                            </m:sSub>
                          </m:e>
                        </m:d>
                        <m:r>
                          <w:rPr>
                            <w:rFonts w:ascii="Cambria Math" w:eastAsia="Calibri" w:hAnsi="Cambria Math" w:cs="Times New Roman"/>
                          </w:rPr>
                          <m:t>× P</m:t>
                        </m:r>
                        <m:d>
                          <m:dPr>
                            <m:ctrlPr>
                              <w:rPr>
                                <w:rFonts w:ascii="Cambria Math" w:eastAsia="Calibri" w:hAnsi="Cambria Math" w:cs="Times New Roman"/>
                                <w:i/>
                              </w:rPr>
                            </m:ctrlPr>
                          </m:dPr>
                          <m:e>
                            <m:sSub>
                              <m:sSubPr>
                                <m:ctrlPr>
                                  <w:rPr>
                                    <w:rFonts w:ascii="Cambria Math" w:hAnsi="Cambria Math"/>
                                    <w:i/>
                                  </w:rPr>
                                </m:ctrlPr>
                              </m:sSubPr>
                              <m:e>
                                <m:r>
                                  <w:rPr>
                                    <w:rFonts w:ascii="Cambria Math" w:hAnsi="Cambria Math"/>
                                  </w:rPr>
                                  <m:t>z</m:t>
                                </m:r>
                              </m:e>
                              <m:sub>
                                <m:r>
                                  <w:rPr>
                                    <w:rFonts w:ascii="Cambria Math" w:hAnsi="Cambria Math"/>
                                  </w:rPr>
                                  <m:t>qt</m:t>
                                </m:r>
                              </m:sub>
                            </m:sSub>
                          </m:e>
                        </m:d>
                      </m:e>
                    </m:d>
                  </m:e>
                </m:d>
              </m:e>
            </m:nary>
          </m:e>
        </m:nary>
        <m:r>
          <w:rPr>
            <w:rFonts w:ascii="Cambria Math" w:eastAsia="Times New Roman" w:hAnsi="Cambria Math" w:cs="Times New Roman"/>
            <w:szCs w:val="24"/>
          </w:rPr>
          <m:t>d</m:t>
        </m:r>
        <m:r>
          <m:rPr>
            <m:sty m:val="p"/>
          </m:rPr>
          <w:rPr>
            <w:rFonts w:ascii="Cambria Math" w:eastAsiaTheme="minorEastAsia" w:hAnsi="Cambria Math" w:cs="Times New Roman"/>
            <w:szCs w:val="24"/>
          </w:rPr>
          <m:t>Ω</m:t>
        </m:r>
      </m:oMath>
      <w:r w:rsidR="0044699A" w:rsidRPr="004465BD">
        <w:rPr>
          <w:rFonts w:eastAsiaTheme="minorEastAsia"/>
        </w:rPr>
        <w:tab/>
      </w:r>
      <w:r w:rsidR="0044699A" w:rsidRPr="004465BD">
        <w:rPr>
          <w:rFonts w:eastAsiaTheme="minorEastAsia"/>
        </w:rPr>
        <w:tab/>
      </w:r>
      <w:r w:rsidR="0044699A" w:rsidRPr="004465BD">
        <w:rPr>
          <w:rFonts w:eastAsiaTheme="minorEastAsia"/>
        </w:rPr>
        <w:tab/>
      </w:r>
      <w:r w:rsidR="0044699A" w:rsidRPr="004465BD">
        <w:rPr>
          <w:rFonts w:eastAsiaTheme="minorEastAsia"/>
        </w:rPr>
        <w:tab/>
      </w:r>
      <w:r w:rsidR="00593114" w:rsidRPr="004465BD">
        <w:rPr>
          <w:rFonts w:eastAsiaTheme="minorEastAsia"/>
        </w:rPr>
        <w:t xml:space="preserve">    </w:t>
      </w:r>
      <w:r w:rsidR="0044699A" w:rsidRPr="004465BD">
        <w:rPr>
          <w:rFonts w:eastAsiaTheme="minorEastAsia"/>
        </w:rPr>
        <w:tab/>
        <w:t xml:space="preserve">       </w:t>
      </w:r>
      <w:r w:rsidR="0044699A" w:rsidRPr="004465BD">
        <w:rPr>
          <w:rFonts w:eastAsiaTheme="minorEastAsia"/>
        </w:rPr>
        <w:tab/>
        <w:t xml:space="preserve">      </w:t>
      </w:r>
      <w:r w:rsidR="00593114" w:rsidRPr="004465BD">
        <w:rPr>
          <w:rFonts w:eastAsiaTheme="minorEastAsia"/>
        </w:rPr>
        <w:t xml:space="preserve">          </w:t>
      </w:r>
      <w:r w:rsidR="0044699A" w:rsidRPr="004465BD">
        <w:rPr>
          <w:rFonts w:eastAsiaTheme="minorEastAsia"/>
        </w:rPr>
        <w:t xml:space="preserve"> </w:t>
      </w:r>
      <w:r w:rsidR="008D3795" w:rsidRPr="004465BD">
        <w:rPr>
          <w:rFonts w:eastAsiaTheme="minorEastAsia"/>
        </w:rPr>
        <w:t xml:space="preserve">  </w:t>
      </w:r>
      <w:r w:rsidR="0044699A" w:rsidRPr="004465BD">
        <w:rPr>
          <w:rFonts w:eastAsiaTheme="minorEastAsia"/>
        </w:rPr>
        <w:t>(</w:t>
      </w:r>
      <w:r w:rsidR="008D3795" w:rsidRPr="004465BD">
        <w:rPr>
          <w:rFonts w:eastAsiaTheme="minorEastAsia"/>
        </w:rPr>
        <w:t>9</w:t>
      </w:r>
      <w:r w:rsidR="0044699A" w:rsidRPr="004465BD">
        <w:rPr>
          <w:rFonts w:eastAsiaTheme="minorEastAsia"/>
        </w:rPr>
        <w:t>)</w:t>
      </w:r>
    </w:p>
    <w:p w14:paraId="0315F958" w14:textId="0DD9E141" w:rsidR="00D35EFB" w:rsidRPr="004465BD" w:rsidRDefault="00C85C3B" w:rsidP="00EB5197">
      <w:pPr>
        <w:ind w:firstLine="432"/>
        <w:rPr>
          <w:rFonts w:eastAsiaTheme="minorEastAsia" w:cs="Times New Roman"/>
          <w:szCs w:val="24"/>
        </w:rPr>
      </w:pPr>
      <w:r w:rsidRPr="004465BD">
        <w:t xml:space="preserve">The </w:t>
      </w:r>
      <w:r w:rsidRPr="004465BD">
        <w:rPr>
          <w:rFonts w:eastAsiaTheme="minorEastAsia" w:cs="Times New Roman"/>
          <w:szCs w:val="24"/>
        </w:rPr>
        <w:t xml:space="preserve">full </w:t>
      </w:r>
      <w:r w:rsidR="00D35EFB" w:rsidRPr="004465BD">
        <w:rPr>
          <w:rFonts w:eastAsiaTheme="minorEastAsia" w:cs="Times New Roman"/>
          <w:szCs w:val="24"/>
        </w:rPr>
        <w:t>log-likelihood function is</w:t>
      </w:r>
      <w:r w:rsidRPr="004465BD">
        <w:rPr>
          <w:rFonts w:eastAsiaTheme="minorEastAsia" w:cs="Times New Roman"/>
          <w:szCs w:val="24"/>
        </w:rPr>
        <w:t xml:space="preserve"> estimated as</w:t>
      </w:r>
      <w:r w:rsidR="00D35EFB" w:rsidRPr="004465BD">
        <w:rPr>
          <w:rFonts w:eastAsiaTheme="minorEastAsia" w:cs="Times New Roman"/>
          <w:szCs w:val="24"/>
        </w:rPr>
        <w:t xml:space="preserve">: </w:t>
      </w:r>
    </w:p>
    <w:p w14:paraId="7D0B64BB" w14:textId="08461677" w:rsidR="00D35EFB" w:rsidRPr="004465BD" w:rsidRDefault="00D35EFB" w:rsidP="00EB5197">
      <w:pPr>
        <w:rPr>
          <w:rFonts w:eastAsiaTheme="minorEastAsia"/>
        </w:rPr>
      </w:pPr>
      <m:oMath>
        <m:r>
          <w:rPr>
            <w:rFonts w:ascii="Cambria Math" w:eastAsia="Times New Roman" w:hAnsi="Cambria Math" w:cs="Times New Roman"/>
            <w:szCs w:val="24"/>
          </w:rPr>
          <m:t>LL=</m:t>
        </m:r>
        <m:nary>
          <m:naryPr>
            <m:chr m:val="∑"/>
            <m:limLoc m:val="undOvr"/>
            <m:supHide m:val="1"/>
            <m:ctrlPr>
              <w:rPr>
                <w:rFonts w:ascii="Cambria Math" w:eastAsia="Times New Roman" w:hAnsi="Cambria Math" w:cs="Times New Roman"/>
                <w:i/>
                <w:szCs w:val="24"/>
              </w:rPr>
            </m:ctrlPr>
          </m:naryPr>
          <m:sub>
            <m:r>
              <w:rPr>
                <w:rFonts w:ascii="Cambria Math" w:eastAsia="Times New Roman" w:hAnsi="Cambria Math" w:cs="Times New Roman"/>
                <w:szCs w:val="24"/>
              </w:rPr>
              <m:t>q</m:t>
            </m:r>
          </m:sub>
          <m:sup/>
          <m:e>
            <m:sSub>
              <m:sSubPr>
                <m:ctrlPr>
                  <w:rPr>
                    <w:rFonts w:ascii="Cambria Math" w:eastAsia="Times New Roman" w:hAnsi="Cambria Math" w:cs="Times New Roman"/>
                    <w:i/>
                    <w:szCs w:val="24"/>
                  </w:rPr>
                </m:ctrlPr>
              </m:sSubPr>
              <m:e>
                <m:r>
                  <w:rPr>
                    <w:rFonts w:ascii="Cambria Math" w:eastAsia="Times New Roman" w:hAnsi="Cambria Math" w:cs="Times New Roman"/>
                    <w:szCs w:val="24"/>
                  </w:rPr>
                  <m:t>Ln(L</m:t>
                </m:r>
              </m:e>
              <m:sub>
                <m:r>
                  <w:rPr>
                    <w:rFonts w:ascii="Cambria Math" w:eastAsia="Times New Roman" w:hAnsi="Cambria Math" w:cs="Times New Roman"/>
                    <w:szCs w:val="24"/>
                  </w:rPr>
                  <m:t>q</m:t>
                </m:r>
              </m:sub>
            </m:sSub>
            <m:r>
              <w:rPr>
                <w:rFonts w:ascii="Cambria Math" w:eastAsia="Times New Roman" w:hAnsi="Cambria Math" w:cs="Times New Roman"/>
                <w:szCs w:val="24"/>
              </w:rPr>
              <m:t>)</m:t>
            </m:r>
          </m:e>
        </m:nary>
        <m:r>
          <m:rPr>
            <m:sty m:val="p"/>
          </m:rPr>
          <w:rPr>
            <w:rFonts w:ascii="Cambria Math" w:eastAsiaTheme="minorEastAsia" w:hAnsi="Cambria Math" w:cs="Times New Roman"/>
            <w:szCs w:val="24"/>
          </w:rPr>
          <m:t xml:space="preserve">  </m:t>
        </m:r>
      </m:oMath>
      <w:r w:rsidRPr="004465BD">
        <w:rPr>
          <w:rFonts w:eastAsiaTheme="minorEastAsia" w:cs="Times New Roman"/>
          <w:szCs w:val="24"/>
        </w:rPr>
        <w:t xml:space="preserve">    </w:t>
      </w:r>
      <w:r w:rsidRPr="004465BD">
        <w:rPr>
          <w:rFonts w:eastAsiaTheme="minorEastAsia"/>
        </w:rPr>
        <w:t xml:space="preserve"> </w:t>
      </w:r>
      <w:r w:rsidRPr="004465BD">
        <w:rPr>
          <w:rFonts w:eastAsiaTheme="minorEastAsia"/>
        </w:rPr>
        <w:tab/>
      </w:r>
      <w:r w:rsidRPr="004465BD">
        <w:rPr>
          <w:rFonts w:eastAsiaTheme="minorEastAsia"/>
        </w:rPr>
        <w:tab/>
      </w:r>
      <w:r w:rsidRPr="004465BD">
        <w:rPr>
          <w:rFonts w:eastAsiaTheme="minorEastAsia"/>
        </w:rPr>
        <w:tab/>
      </w:r>
      <w:r w:rsidRPr="004465BD">
        <w:rPr>
          <w:rFonts w:eastAsiaTheme="minorEastAsia"/>
        </w:rPr>
        <w:tab/>
      </w:r>
      <w:r w:rsidRPr="004465BD">
        <w:rPr>
          <w:rFonts w:eastAsiaTheme="minorEastAsia"/>
        </w:rPr>
        <w:tab/>
      </w:r>
      <w:r w:rsidRPr="004465BD">
        <w:rPr>
          <w:rFonts w:eastAsiaTheme="minorEastAsia"/>
        </w:rPr>
        <w:tab/>
      </w:r>
      <w:r w:rsidRPr="004465BD">
        <w:rPr>
          <w:rFonts w:eastAsiaTheme="minorEastAsia"/>
        </w:rPr>
        <w:tab/>
        <w:t xml:space="preserve">   </w:t>
      </w:r>
      <w:r w:rsidRPr="004465BD">
        <w:rPr>
          <w:rFonts w:eastAsiaTheme="minorEastAsia"/>
        </w:rPr>
        <w:tab/>
      </w:r>
      <w:r w:rsidRPr="004465BD">
        <w:rPr>
          <w:rFonts w:eastAsiaTheme="minorEastAsia"/>
        </w:rPr>
        <w:tab/>
      </w:r>
      <w:r w:rsidRPr="004465BD">
        <w:rPr>
          <w:rFonts w:eastAsiaTheme="minorEastAsia"/>
        </w:rPr>
        <w:tab/>
        <w:t xml:space="preserve">     </w:t>
      </w:r>
      <w:r w:rsidR="00593114" w:rsidRPr="004465BD">
        <w:rPr>
          <w:rFonts w:eastAsiaTheme="minorEastAsia"/>
        </w:rPr>
        <w:t>(1</w:t>
      </w:r>
      <w:r w:rsidR="008D3795" w:rsidRPr="004465BD">
        <w:rPr>
          <w:rFonts w:eastAsiaTheme="minorEastAsia"/>
        </w:rPr>
        <w:t>0</w:t>
      </w:r>
      <w:r w:rsidR="00593114" w:rsidRPr="004465BD">
        <w:rPr>
          <w:rFonts w:eastAsiaTheme="minorEastAsia"/>
        </w:rPr>
        <w:t>)</w:t>
      </w:r>
    </w:p>
    <w:p w14:paraId="23B97F46" w14:textId="392449E1" w:rsidR="00D35EFB" w:rsidRPr="004465BD" w:rsidRDefault="00D35EFB" w:rsidP="00EB5197"/>
    <w:p w14:paraId="0E16C491" w14:textId="615E6F9F" w:rsidR="00443506" w:rsidRPr="004465BD" w:rsidRDefault="00443506" w:rsidP="00EB5197">
      <w:pPr>
        <w:rPr>
          <w:rFonts w:eastAsiaTheme="minorEastAsia"/>
        </w:rPr>
      </w:pPr>
    </w:p>
    <w:p w14:paraId="7EED005F" w14:textId="5CA24529" w:rsidR="00443506" w:rsidRPr="004465BD" w:rsidRDefault="00B31CDB" w:rsidP="00EB5197">
      <w:pPr>
        <w:pStyle w:val="Heading1"/>
        <w:ind w:left="432" w:hanging="432"/>
      </w:pPr>
      <w:r w:rsidRPr="004465BD">
        <w:lastRenderedPageBreak/>
        <w:t>EMPIRICAL ANALYSIS</w:t>
      </w:r>
    </w:p>
    <w:p w14:paraId="2402078D" w14:textId="5A6FA634" w:rsidR="00B31CDB" w:rsidRPr="004465BD" w:rsidRDefault="00B31CDB" w:rsidP="00EB5197">
      <w:pPr>
        <w:pStyle w:val="Heading2"/>
        <w:ind w:left="576" w:hanging="576"/>
      </w:pPr>
      <w:r w:rsidRPr="004465BD">
        <w:t>Model Fit</w:t>
      </w:r>
    </w:p>
    <w:p w14:paraId="46AB3701" w14:textId="4D04FAD5" w:rsidR="00D34F6F" w:rsidRPr="004465BD" w:rsidRDefault="00AD6CF4" w:rsidP="00EB5197">
      <w:r w:rsidRPr="004465BD">
        <w:t xml:space="preserve">The model estimation was conducted using independent variables outlined in the data section. </w:t>
      </w:r>
      <w:r w:rsidR="000B0648" w:rsidRPr="004465BD">
        <w:t>T</w:t>
      </w:r>
      <w:r w:rsidRPr="004465BD">
        <w:t xml:space="preserve">he reader </w:t>
      </w:r>
      <w:r w:rsidR="000B0648" w:rsidRPr="004465BD">
        <w:t xml:space="preserve">will note that </w:t>
      </w:r>
      <w:r w:rsidR="00E56BD9" w:rsidRPr="004465BD">
        <w:t xml:space="preserve">the covid transmission model was estimated using mobility </w:t>
      </w:r>
      <w:r w:rsidR="00E77D0F" w:rsidRPr="004465BD">
        <w:t xml:space="preserve">variables and the mobility model was estimated using covid transmission variables. The empirical analysis involves a series of model estimations. </w:t>
      </w:r>
      <w:r w:rsidR="00056CD8" w:rsidRPr="004465BD">
        <w:rPr>
          <w:u w:val="single"/>
        </w:rPr>
        <w:t>First</w:t>
      </w:r>
      <w:r w:rsidR="00056CD8" w:rsidRPr="004465BD">
        <w:t xml:space="preserve">, we developed </w:t>
      </w:r>
      <w:proofErr w:type="spellStart"/>
      <w:r w:rsidR="00AF310C" w:rsidRPr="004465BD">
        <w:t>uni</w:t>
      </w:r>
      <w:proofErr w:type="spellEnd"/>
      <w:r w:rsidR="00AF310C" w:rsidRPr="004465BD">
        <w:t>-directional</w:t>
      </w:r>
      <w:r w:rsidR="00056CD8" w:rsidRPr="004465BD">
        <w:t xml:space="preserve"> linear regression models (</w:t>
      </w:r>
      <w:r w:rsidR="00AF310C" w:rsidRPr="004465BD">
        <w:t>U</w:t>
      </w:r>
      <w:r w:rsidR="00056CD8" w:rsidRPr="004465BD">
        <w:t>LRs) for both COVID-19</w:t>
      </w:r>
      <w:r w:rsidR="006C78A7" w:rsidRPr="004465BD">
        <w:t xml:space="preserve"> weekly</w:t>
      </w:r>
      <w:r w:rsidR="00056CD8" w:rsidRPr="004465BD">
        <w:t xml:space="preserve"> transmission rate and </w:t>
      </w:r>
      <w:r w:rsidR="006C78A7" w:rsidRPr="004465BD">
        <w:t xml:space="preserve">the weekly </w:t>
      </w:r>
      <w:r w:rsidR="00056CD8" w:rsidRPr="004465BD">
        <w:t xml:space="preserve">mobility patterns without considering the bi-directional relationship and the corresponding temporal correlations. </w:t>
      </w:r>
      <w:r w:rsidR="00056CD8" w:rsidRPr="004465BD">
        <w:rPr>
          <w:u w:val="single"/>
        </w:rPr>
        <w:t>Second</w:t>
      </w:r>
      <w:r w:rsidR="00056CD8" w:rsidRPr="004465BD">
        <w:t xml:space="preserve">, </w:t>
      </w:r>
      <w:r w:rsidR="00D34F6F" w:rsidRPr="004465BD">
        <w:t xml:space="preserve">we improve the </w:t>
      </w:r>
      <w:r w:rsidR="00AF310C" w:rsidRPr="004465BD">
        <w:t>U</w:t>
      </w:r>
      <w:r w:rsidR="00D34F6F" w:rsidRPr="004465BD">
        <w:t>LRs by considering the temporal correlations</w:t>
      </w:r>
      <w:r w:rsidR="00FE2487" w:rsidRPr="004465BD">
        <w:t xml:space="preserve"> outlined in </w:t>
      </w:r>
      <w:r w:rsidR="00FD0A6F" w:rsidRPr="004465BD">
        <w:t>the methodology</w:t>
      </w:r>
      <w:r w:rsidR="00FE2487" w:rsidRPr="004465BD">
        <w:t xml:space="preserve"> section</w:t>
      </w:r>
      <w:r w:rsidR="00AF310C" w:rsidRPr="004465BD">
        <w:t xml:space="preserve"> and named it as </w:t>
      </w:r>
      <w:proofErr w:type="spellStart"/>
      <w:r w:rsidR="00AF310C" w:rsidRPr="004465BD">
        <w:t>uni</w:t>
      </w:r>
      <w:proofErr w:type="spellEnd"/>
      <w:r w:rsidR="00AF310C" w:rsidRPr="004465BD">
        <w:t>-directional mixed linear regression model (UMLR</w:t>
      </w:r>
      <w:r w:rsidR="003029A6" w:rsidRPr="004465BD">
        <w:t>s</w:t>
      </w:r>
      <w:r w:rsidR="00AF310C" w:rsidRPr="004465BD">
        <w:t>)</w:t>
      </w:r>
      <w:r w:rsidR="00D34F6F" w:rsidRPr="004465BD">
        <w:t xml:space="preserve">. As discussed earlier, in our data, we had two level of repetitions: weekly level and monthly level. </w:t>
      </w:r>
      <w:r w:rsidR="007C4948" w:rsidRPr="004465BD">
        <w:t xml:space="preserve">In our analysis the </w:t>
      </w:r>
      <w:r w:rsidR="00D34F6F" w:rsidRPr="004465BD">
        <w:t>model capturing the weekly level dependencies offer</w:t>
      </w:r>
      <w:r w:rsidR="007C4948" w:rsidRPr="004465BD">
        <w:t>s</w:t>
      </w:r>
      <w:r w:rsidR="00D34F6F" w:rsidRPr="004465BD">
        <w:t xml:space="preserve"> the best fit and hence we selected this model for the next step. </w:t>
      </w:r>
      <w:r w:rsidR="00D34F6F" w:rsidRPr="004465BD">
        <w:rPr>
          <w:rFonts w:cs="Times New Roman"/>
        </w:rPr>
        <w:t xml:space="preserve">In the </w:t>
      </w:r>
      <w:r w:rsidR="00D34F6F" w:rsidRPr="004465BD">
        <w:rPr>
          <w:rFonts w:cs="Times New Roman"/>
          <w:u w:val="single"/>
        </w:rPr>
        <w:t>final step</w:t>
      </w:r>
      <w:r w:rsidR="00D34F6F" w:rsidRPr="004465BD">
        <w:t xml:space="preserve">, we </w:t>
      </w:r>
      <w:r w:rsidR="004254A4" w:rsidRPr="004465BD">
        <w:t xml:space="preserve">develop </w:t>
      </w:r>
      <w:r w:rsidR="00BE25E7" w:rsidRPr="004465BD">
        <w:t xml:space="preserve">joint </w:t>
      </w:r>
      <w:r w:rsidR="00D34F6F" w:rsidRPr="004465BD">
        <w:t xml:space="preserve"> econometric model</w:t>
      </w:r>
      <w:r w:rsidR="00652E34" w:rsidRPr="004465BD">
        <w:t xml:space="preserve"> </w:t>
      </w:r>
      <w:r w:rsidR="00D34F6F" w:rsidRPr="004465BD">
        <w:t xml:space="preserve">that allows for the bi-directional impact across the two dependent variables while also controlling for the influence of common unobserved factors affecting the two variables. </w:t>
      </w:r>
      <w:r w:rsidR="00436B2B" w:rsidRPr="004465BD">
        <w:t xml:space="preserve">We called this model joint bi-directional mixed linear model (JBMLR). </w:t>
      </w:r>
    </w:p>
    <w:p w14:paraId="3E4F7546" w14:textId="7349504E" w:rsidR="00914EF5" w:rsidRPr="004465BD" w:rsidRDefault="00D34F6F" w:rsidP="00EB5197">
      <w:pPr>
        <w:ind w:firstLine="720"/>
        <w:rPr>
          <w:rFonts w:eastAsiaTheme="minorEastAsia"/>
        </w:rPr>
      </w:pPr>
      <w:r w:rsidRPr="004465BD">
        <w:rPr>
          <w:rFonts w:cs="Times New Roman"/>
        </w:rPr>
        <w:t>To evaluate the performance of the models</w:t>
      </w:r>
      <w:r w:rsidR="009C6273" w:rsidRPr="004465BD">
        <w:rPr>
          <w:rFonts w:cs="Times New Roman"/>
        </w:rPr>
        <w:t>,</w:t>
      </w:r>
      <w:r w:rsidRPr="004465BD">
        <w:rPr>
          <w:rFonts w:cs="Times New Roman"/>
        </w:rPr>
        <w:t xml:space="preserve"> we calculated Bayesian Information Criterion (BIC). The BIC value for a given empirical model can be calculated as: </w:t>
      </w:r>
      <m:oMath>
        <m:d>
          <m:dPr>
            <m:begChr m:val="["/>
            <m:endChr m:val="]"/>
            <m:ctrlPr>
              <w:rPr>
                <w:rFonts w:ascii="Cambria Math" w:hAnsi="Cambria Math" w:cs="Times New Roman"/>
                <w:i/>
              </w:rPr>
            </m:ctrlPr>
          </m:dPr>
          <m:e>
            <m:r>
              <w:rPr>
                <w:rFonts w:ascii="Cambria Math" w:hAnsi="Cambria Math" w:cs="Times New Roman"/>
              </w:rPr>
              <m:t xml:space="preserve">– 2 </m:t>
            </m:r>
            <m:d>
              <m:dPr>
                <m:ctrlPr>
                  <w:rPr>
                    <w:rFonts w:ascii="Cambria Math" w:hAnsi="Cambria Math" w:cs="Times New Roman"/>
                    <w:i/>
                  </w:rPr>
                </m:ctrlPr>
              </m:dPr>
              <m:e>
                <m:r>
                  <w:rPr>
                    <w:rFonts w:ascii="Cambria Math" w:hAnsi="Cambria Math" w:cs="Times New Roman"/>
                  </w:rPr>
                  <m:t>LL</m:t>
                </m:r>
              </m:e>
            </m:d>
            <m:r>
              <w:rPr>
                <w:rFonts w:ascii="Cambria Math" w:hAnsi="Cambria Math" w:cs="Times New Roman"/>
              </w:rPr>
              <m:t>+ K</m:t>
            </m:r>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Q</m:t>
                    </m:r>
                  </m:e>
                </m:d>
              </m:e>
            </m:func>
          </m:e>
        </m:d>
        <m:r>
          <w:rPr>
            <w:rFonts w:ascii="Cambria Math" w:hAnsi="Cambria Math" w:cs="Times New Roman"/>
          </w:rPr>
          <m:t>,</m:t>
        </m:r>
      </m:oMath>
      <w:r w:rsidRPr="004465BD">
        <w:rPr>
          <w:rFonts w:cs="Times New Roman"/>
        </w:rPr>
        <w:t xml:space="preserve"> where </w:t>
      </w:r>
      <m:oMath>
        <m:r>
          <w:rPr>
            <w:rFonts w:ascii="Cambria Math" w:hAnsi="Cambria Math" w:cs="Times New Roman"/>
          </w:rPr>
          <m:t>LL</m:t>
        </m:r>
      </m:oMath>
      <w:r w:rsidRPr="004465BD">
        <w:rPr>
          <w:rFonts w:cs="Times New Roman"/>
        </w:rPr>
        <w:t xml:space="preserve"> is the log-likelihood value at convergence, </w:t>
      </w:r>
      <m:oMath>
        <m:r>
          <w:rPr>
            <w:rFonts w:ascii="Cambria Math" w:hAnsi="Cambria Math" w:cs="Times New Roman"/>
          </w:rPr>
          <m:t>K</m:t>
        </m:r>
      </m:oMath>
      <w:r w:rsidRPr="004465BD">
        <w:rPr>
          <w:rFonts w:cs="Times New Roman"/>
        </w:rPr>
        <w:t xml:space="preserve"> is the number of parameters and </w:t>
      </w:r>
      <m:oMath>
        <m:r>
          <w:rPr>
            <w:rFonts w:ascii="Cambria Math" w:hAnsi="Cambria Math" w:cs="Times New Roman"/>
          </w:rPr>
          <m:t>Q</m:t>
        </m:r>
      </m:oMath>
      <w:r w:rsidRPr="004465BD">
        <w:rPr>
          <w:rFonts w:cs="Times New Roman"/>
        </w:rPr>
        <w:t xml:space="preserve"> is the number of observations. The model with the lowest BIC value is the preferred model. </w:t>
      </w:r>
      <w:r w:rsidR="00652E34" w:rsidRPr="004465BD">
        <w:t xml:space="preserve">The BIC (LL) values for the final specifications of the three models are: </w:t>
      </w:r>
      <w:r w:rsidR="00652E34" w:rsidRPr="004465BD">
        <w:rPr>
          <w:rFonts w:eastAsiaTheme="minorEastAsia"/>
        </w:rPr>
        <w:t xml:space="preserve">1) </w:t>
      </w:r>
      <w:r w:rsidR="00BE25E7" w:rsidRPr="004465BD">
        <w:rPr>
          <w:rFonts w:eastAsiaTheme="minorEastAsia"/>
        </w:rPr>
        <w:t xml:space="preserve">separate </w:t>
      </w:r>
      <w:proofErr w:type="spellStart"/>
      <w:r w:rsidR="003029A6" w:rsidRPr="004465BD">
        <w:rPr>
          <w:rFonts w:eastAsiaTheme="minorEastAsia"/>
        </w:rPr>
        <w:t>uni</w:t>
      </w:r>
      <w:proofErr w:type="spellEnd"/>
      <w:r w:rsidR="003029A6" w:rsidRPr="004465BD">
        <w:rPr>
          <w:rFonts w:eastAsiaTheme="minorEastAsia"/>
        </w:rPr>
        <w:t xml:space="preserve">-directional </w:t>
      </w:r>
      <w:r w:rsidR="00BE25E7" w:rsidRPr="004465BD">
        <w:rPr>
          <w:rFonts w:eastAsiaTheme="minorEastAsia"/>
        </w:rPr>
        <w:t xml:space="preserve">linear regression </w:t>
      </w:r>
      <w:r w:rsidR="00652E34" w:rsidRPr="004465BD">
        <w:rPr>
          <w:rFonts w:eastAsiaTheme="minorEastAsia"/>
        </w:rPr>
        <w:t>model</w:t>
      </w:r>
      <w:r w:rsidR="00DF3324" w:rsidRPr="004465BD">
        <w:rPr>
          <w:rFonts w:eastAsiaTheme="minorEastAsia"/>
        </w:rPr>
        <w:t xml:space="preserve"> system</w:t>
      </w:r>
      <w:r w:rsidR="00652E34" w:rsidRPr="004465BD">
        <w:rPr>
          <w:rFonts w:eastAsiaTheme="minorEastAsia"/>
        </w:rPr>
        <w:t xml:space="preserve"> (with 39 parameters): </w:t>
      </w:r>
      <w:r w:rsidR="007C0B2B" w:rsidRPr="004465BD">
        <w:rPr>
          <w:rFonts w:eastAsiaTheme="minorEastAsia"/>
        </w:rPr>
        <w:t xml:space="preserve">549525.02 </w:t>
      </w:r>
      <w:r w:rsidR="00652E34" w:rsidRPr="004465BD">
        <w:rPr>
          <w:rFonts w:eastAsiaTheme="minorEastAsia"/>
        </w:rPr>
        <w:t xml:space="preserve">(-274532.91); 2) </w:t>
      </w:r>
      <w:r w:rsidR="00BE25E7" w:rsidRPr="004465BD">
        <w:rPr>
          <w:rFonts w:eastAsiaTheme="minorEastAsia"/>
        </w:rPr>
        <w:t xml:space="preserve">separate </w:t>
      </w:r>
      <w:proofErr w:type="spellStart"/>
      <w:r w:rsidR="00DF3324" w:rsidRPr="004465BD">
        <w:rPr>
          <w:rFonts w:eastAsiaTheme="minorEastAsia"/>
        </w:rPr>
        <w:t>uni</w:t>
      </w:r>
      <w:proofErr w:type="spellEnd"/>
      <w:r w:rsidR="00DF3324" w:rsidRPr="004465BD">
        <w:rPr>
          <w:rFonts w:eastAsiaTheme="minorEastAsia"/>
        </w:rPr>
        <w:t xml:space="preserve">-directional </w:t>
      </w:r>
      <w:r w:rsidR="00BE25E7" w:rsidRPr="004465BD">
        <w:rPr>
          <w:rFonts w:eastAsiaTheme="minorEastAsia"/>
        </w:rPr>
        <w:t xml:space="preserve">mixed linear regression </w:t>
      </w:r>
      <w:r w:rsidR="00652E34" w:rsidRPr="004465BD">
        <w:rPr>
          <w:rFonts w:eastAsiaTheme="minorEastAsia"/>
        </w:rPr>
        <w:t>model</w:t>
      </w:r>
      <w:r w:rsidR="00DF3324" w:rsidRPr="004465BD">
        <w:rPr>
          <w:rFonts w:eastAsiaTheme="minorEastAsia"/>
        </w:rPr>
        <w:t xml:space="preserve"> </w:t>
      </w:r>
      <w:r w:rsidR="00BE25E7" w:rsidRPr="004465BD">
        <w:rPr>
          <w:rFonts w:eastAsiaTheme="minorEastAsia"/>
        </w:rPr>
        <w:t>s</w:t>
      </w:r>
      <w:r w:rsidR="00DF3324" w:rsidRPr="004465BD">
        <w:rPr>
          <w:rFonts w:eastAsiaTheme="minorEastAsia"/>
        </w:rPr>
        <w:t>ystem</w:t>
      </w:r>
      <w:r w:rsidR="00652E34" w:rsidRPr="004465BD">
        <w:rPr>
          <w:rFonts w:eastAsiaTheme="minorEastAsia"/>
        </w:rPr>
        <w:t xml:space="preserve"> (with 41 parameters): </w:t>
      </w:r>
      <w:r w:rsidR="007C0B2B" w:rsidRPr="004465BD">
        <w:rPr>
          <w:rFonts w:eastAsiaTheme="minorEastAsia"/>
        </w:rPr>
        <w:t xml:space="preserve">539963.81 </w:t>
      </w:r>
      <w:r w:rsidR="00652E34" w:rsidRPr="004465BD">
        <w:rPr>
          <w:rFonts w:eastAsiaTheme="minorEastAsia"/>
        </w:rPr>
        <w:t xml:space="preserve">(-269740.53); and 3) </w:t>
      </w:r>
      <w:r w:rsidR="00BE25E7" w:rsidRPr="004465BD">
        <w:rPr>
          <w:rFonts w:eastAsiaTheme="minorEastAsia"/>
        </w:rPr>
        <w:t xml:space="preserve">joint </w:t>
      </w:r>
      <w:r w:rsidR="00DF3324" w:rsidRPr="004465BD">
        <w:rPr>
          <w:rFonts w:eastAsiaTheme="minorEastAsia"/>
        </w:rPr>
        <w:t xml:space="preserve">bi-directional </w:t>
      </w:r>
      <w:r w:rsidR="00BE25E7" w:rsidRPr="004465BD">
        <w:rPr>
          <w:rFonts w:eastAsiaTheme="minorEastAsia"/>
        </w:rPr>
        <w:t xml:space="preserve">mixed linear regression </w:t>
      </w:r>
      <w:r w:rsidR="00652E34" w:rsidRPr="004465BD">
        <w:rPr>
          <w:rFonts w:eastAsiaTheme="minorEastAsia"/>
        </w:rPr>
        <w:t>model</w:t>
      </w:r>
      <w:r w:rsidR="00DF3324" w:rsidRPr="004465BD">
        <w:rPr>
          <w:rFonts w:eastAsiaTheme="minorEastAsia"/>
        </w:rPr>
        <w:t xml:space="preserve"> system</w:t>
      </w:r>
      <w:r w:rsidR="00652E34" w:rsidRPr="004465BD">
        <w:rPr>
          <w:rFonts w:eastAsiaTheme="minorEastAsia"/>
        </w:rPr>
        <w:t xml:space="preserve"> (with 42 parameters): </w:t>
      </w:r>
      <w:r w:rsidR="007C0B2B" w:rsidRPr="004465BD">
        <w:rPr>
          <w:rFonts w:eastAsiaTheme="minorEastAsia"/>
        </w:rPr>
        <w:t xml:space="preserve">519432.74 </w:t>
      </w:r>
      <w:r w:rsidR="00652E34" w:rsidRPr="004465BD">
        <w:rPr>
          <w:rFonts w:eastAsiaTheme="minorEastAsia"/>
        </w:rPr>
        <w:t xml:space="preserve">(-259469.11). The comparison exercise </w:t>
      </w:r>
      <w:r w:rsidR="00DF3324" w:rsidRPr="004465BD">
        <w:rPr>
          <w:rFonts w:eastAsiaTheme="minorEastAsia"/>
        </w:rPr>
        <w:t xml:space="preserve">highlights </w:t>
      </w:r>
      <w:r w:rsidR="00652E34" w:rsidRPr="004465BD">
        <w:rPr>
          <w:rFonts w:eastAsiaTheme="minorEastAsia"/>
        </w:rPr>
        <w:t>two important observation</w:t>
      </w:r>
      <w:r w:rsidR="00DF3324" w:rsidRPr="004465BD">
        <w:rPr>
          <w:rFonts w:eastAsiaTheme="minorEastAsia"/>
        </w:rPr>
        <w:t>s</w:t>
      </w:r>
      <w:r w:rsidR="00652E34" w:rsidRPr="004465BD">
        <w:rPr>
          <w:rFonts w:eastAsiaTheme="minorEastAsia"/>
        </w:rPr>
        <w:t>.</w:t>
      </w:r>
      <w:r w:rsidR="007A373F" w:rsidRPr="004465BD">
        <w:rPr>
          <w:rFonts w:eastAsiaTheme="minorEastAsia"/>
        </w:rPr>
        <w:t xml:space="preserve"> </w:t>
      </w:r>
      <w:r w:rsidR="007A373F" w:rsidRPr="004465BD">
        <w:rPr>
          <w:rFonts w:eastAsiaTheme="minorEastAsia"/>
          <w:i/>
          <w:iCs/>
        </w:rPr>
        <w:t>First</w:t>
      </w:r>
      <w:r w:rsidR="007A373F" w:rsidRPr="004465BD">
        <w:rPr>
          <w:rFonts w:eastAsiaTheme="minorEastAsia"/>
        </w:rPr>
        <w:t xml:space="preserve">, models incorporating temporal dependencies provides improved performances relative to </w:t>
      </w:r>
      <w:r w:rsidR="00737FFB" w:rsidRPr="004465BD">
        <w:rPr>
          <w:rFonts w:eastAsiaTheme="minorEastAsia"/>
        </w:rPr>
        <w:t>their</w:t>
      </w:r>
      <w:r w:rsidR="007A373F" w:rsidRPr="004465BD">
        <w:rPr>
          <w:rFonts w:eastAsiaTheme="minorEastAsia"/>
        </w:rPr>
        <w:t xml:space="preserve"> simpler counterparts as </w:t>
      </w:r>
      <w:r w:rsidR="007C0D1D" w:rsidRPr="004465BD">
        <w:rPr>
          <w:rFonts w:eastAsiaTheme="minorEastAsia"/>
        </w:rPr>
        <w:t>evidenced</w:t>
      </w:r>
      <w:r w:rsidR="007A373F" w:rsidRPr="004465BD">
        <w:rPr>
          <w:rFonts w:eastAsiaTheme="minorEastAsia"/>
        </w:rPr>
        <w:t xml:space="preserve"> by the lower BIC value. </w:t>
      </w:r>
      <w:r w:rsidR="007C0D1D" w:rsidRPr="004465BD">
        <w:rPr>
          <w:rFonts w:eastAsiaTheme="minorEastAsia"/>
        </w:rPr>
        <w:t xml:space="preserve">The results demonstrate the effectiveness of the mixed modeling approach in </w:t>
      </w:r>
      <w:r w:rsidR="00DF3324" w:rsidRPr="004465BD">
        <w:rPr>
          <w:rFonts w:eastAsiaTheme="minorEastAsia"/>
        </w:rPr>
        <w:t xml:space="preserve">handling data with </w:t>
      </w:r>
      <w:r w:rsidR="007C0D1D" w:rsidRPr="004465BD">
        <w:rPr>
          <w:rFonts w:eastAsiaTheme="minorEastAsia"/>
        </w:rPr>
        <w:t>repeated measures.</w:t>
      </w:r>
      <w:r w:rsidR="00225841" w:rsidRPr="004465BD">
        <w:rPr>
          <w:rFonts w:eastAsiaTheme="minorEastAsia"/>
        </w:rPr>
        <w:t xml:space="preserve"> </w:t>
      </w:r>
      <w:r w:rsidR="00225841" w:rsidRPr="004465BD">
        <w:rPr>
          <w:rFonts w:eastAsiaTheme="minorEastAsia"/>
          <w:i/>
          <w:iCs/>
        </w:rPr>
        <w:t>Second</w:t>
      </w:r>
      <w:r w:rsidR="00225841" w:rsidRPr="004465BD">
        <w:rPr>
          <w:rFonts w:eastAsiaTheme="minorEastAsia"/>
        </w:rPr>
        <w:t xml:space="preserve">, </w:t>
      </w:r>
      <w:r w:rsidR="00D05B8A" w:rsidRPr="004465BD">
        <w:rPr>
          <w:rFonts w:eastAsiaTheme="minorEastAsia"/>
        </w:rPr>
        <w:t xml:space="preserve">the BIC value of the </w:t>
      </w:r>
      <w:r w:rsidR="00DF3324" w:rsidRPr="004465BD">
        <w:rPr>
          <w:rFonts w:eastAsiaTheme="minorEastAsia"/>
        </w:rPr>
        <w:t xml:space="preserve">joint model is </w:t>
      </w:r>
      <w:r w:rsidR="00D05B8A" w:rsidRPr="004465BD">
        <w:rPr>
          <w:rFonts w:eastAsiaTheme="minorEastAsia"/>
        </w:rPr>
        <w:t xml:space="preserve"> </w:t>
      </w:r>
      <w:r w:rsidR="003D0FB0" w:rsidRPr="004465BD">
        <w:rPr>
          <w:rFonts w:eastAsiaTheme="minorEastAsia"/>
        </w:rPr>
        <w:t xml:space="preserve">considerably lower than </w:t>
      </w:r>
      <w:r w:rsidR="00DF3324" w:rsidRPr="004465BD">
        <w:rPr>
          <w:rFonts w:eastAsiaTheme="minorEastAsia"/>
        </w:rPr>
        <w:t xml:space="preserve">separate mixed linear regression </w:t>
      </w:r>
      <w:r w:rsidR="003D0FB0" w:rsidRPr="004465BD">
        <w:rPr>
          <w:rFonts w:eastAsiaTheme="minorEastAsia"/>
        </w:rPr>
        <w:t xml:space="preserve">model </w:t>
      </w:r>
      <w:r w:rsidR="00DF3324" w:rsidRPr="004465BD">
        <w:rPr>
          <w:rFonts w:eastAsiaTheme="minorEastAsia"/>
        </w:rPr>
        <w:t xml:space="preserve">system offering support </w:t>
      </w:r>
      <w:r w:rsidR="00914EF5" w:rsidRPr="004465BD">
        <w:rPr>
          <w:rFonts w:eastAsiaTheme="minorEastAsia"/>
        </w:rPr>
        <w:t xml:space="preserve">to </w:t>
      </w:r>
      <w:r w:rsidR="00DF3324" w:rsidRPr="004465BD">
        <w:rPr>
          <w:rFonts w:eastAsiaTheme="minorEastAsia"/>
        </w:rPr>
        <w:t>ou</w:t>
      </w:r>
      <w:r w:rsidR="00914EF5" w:rsidRPr="004465BD">
        <w:rPr>
          <w:rFonts w:eastAsiaTheme="minorEastAsia"/>
        </w:rPr>
        <w:t>r</w:t>
      </w:r>
      <w:r w:rsidR="00DF3324" w:rsidRPr="004465BD">
        <w:rPr>
          <w:rFonts w:eastAsiaTheme="minorEastAsia"/>
        </w:rPr>
        <w:t xml:space="preserve"> hypothesis that a </w:t>
      </w:r>
      <w:r w:rsidR="00D05B8A" w:rsidRPr="004465BD">
        <w:rPr>
          <w:rFonts w:eastAsiaTheme="minorEastAsia"/>
        </w:rPr>
        <w:t xml:space="preserve">bi-directional relationship between the weekly COVID-19 transmission rate and mobility pattern </w:t>
      </w:r>
      <w:r w:rsidR="00DF3324" w:rsidRPr="004465BD">
        <w:rPr>
          <w:rFonts w:eastAsiaTheme="minorEastAsia"/>
        </w:rPr>
        <w:t>is likely to exist</w:t>
      </w:r>
      <w:r w:rsidR="00D05B8A" w:rsidRPr="004465BD">
        <w:rPr>
          <w:rFonts w:eastAsiaTheme="minorEastAsia"/>
        </w:rPr>
        <w:t xml:space="preserve">. </w:t>
      </w:r>
    </w:p>
    <w:p w14:paraId="1F751ECA" w14:textId="77777777" w:rsidR="00914EF5" w:rsidRPr="004465BD" w:rsidRDefault="00914EF5" w:rsidP="00EB5197">
      <w:pPr>
        <w:ind w:firstLine="720"/>
        <w:rPr>
          <w:rFonts w:eastAsiaTheme="minorEastAsia"/>
        </w:rPr>
      </w:pPr>
    </w:p>
    <w:p w14:paraId="4EEC56ED" w14:textId="24528029" w:rsidR="00B31CDB" w:rsidRPr="004465BD" w:rsidRDefault="00B31CDB" w:rsidP="00EB5197">
      <w:pPr>
        <w:pStyle w:val="Heading2"/>
        <w:ind w:left="576" w:hanging="576"/>
      </w:pPr>
      <w:r w:rsidRPr="004465BD">
        <w:t>Model Results</w:t>
      </w:r>
    </w:p>
    <w:p w14:paraId="0EBD5648" w14:textId="490028D0" w:rsidR="00B31CDB" w:rsidRDefault="00A47F03" w:rsidP="00EB5197">
      <w:r w:rsidRPr="004465BD">
        <w:t xml:space="preserve">The model fit measures presented in the previous section clearly highlight the superior performance of the </w:t>
      </w:r>
      <w:r w:rsidR="00DF3324" w:rsidRPr="004465BD">
        <w:t>joint bi-direct</w:t>
      </w:r>
      <w:r w:rsidR="00DF3324">
        <w:t xml:space="preserve">ional mixed linear regression </w:t>
      </w:r>
      <w:r>
        <w:t xml:space="preserve">model </w:t>
      </w:r>
      <w:r w:rsidR="00DF3324">
        <w:t xml:space="preserve">system </w:t>
      </w:r>
      <w:r>
        <w:t xml:space="preserve">over its counterparts. </w:t>
      </w:r>
      <w:r w:rsidRPr="00A47F03">
        <w:t xml:space="preserve">Therefore, in </w:t>
      </w:r>
      <w:r>
        <w:t>this</w:t>
      </w:r>
      <w:r w:rsidRPr="00A47F03">
        <w:t xml:space="preserve"> section, we discuss the effects of variables by variable category obtained from the </w:t>
      </w:r>
      <w:r w:rsidR="00DF3324">
        <w:t>joint</w:t>
      </w:r>
      <w:r w:rsidR="00DF3324" w:rsidRPr="00A47F03">
        <w:t xml:space="preserve"> </w:t>
      </w:r>
      <w:r w:rsidRPr="00A47F03">
        <w:t>model only</w:t>
      </w:r>
      <w:r>
        <w:t xml:space="preserve">. </w:t>
      </w:r>
      <w:r w:rsidR="00923034">
        <w:t>The reader would note that we tested several variables and functional forms during the model estimation process</w:t>
      </w:r>
      <w:r w:rsidR="008846D9">
        <w:t xml:space="preserve">. The variables that </w:t>
      </w:r>
      <w:r w:rsidR="00165166">
        <w:t>yielded the best</w:t>
      </w:r>
      <w:r w:rsidR="00923034">
        <w:t xml:space="preserve"> data fit and </w:t>
      </w:r>
      <w:r w:rsidR="008846D9">
        <w:t xml:space="preserve">offered intuitive parameter </w:t>
      </w:r>
      <w:r w:rsidR="00923034">
        <w:t>interpretation</w:t>
      </w:r>
      <w:r w:rsidR="008846D9">
        <w:t>s</w:t>
      </w:r>
      <w:r w:rsidR="00923034">
        <w:t xml:space="preserve"> </w:t>
      </w:r>
      <w:r w:rsidR="00165166">
        <w:t xml:space="preserve">were included in the </w:t>
      </w:r>
      <w:r w:rsidR="00923034">
        <w:t xml:space="preserve">final specification. </w:t>
      </w:r>
      <w:r w:rsidR="00165166" w:rsidRPr="00165166">
        <w:t xml:space="preserve">The </w:t>
      </w:r>
      <w:r w:rsidR="008846D9">
        <w:t>final</w:t>
      </w:r>
      <w:r w:rsidR="008846D9" w:rsidRPr="00165166">
        <w:t xml:space="preserve"> </w:t>
      </w:r>
      <w:r w:rsidR="00165166" w:rsidRPr="00165166">
        <w:t xml:space="preserve">model was </w:t>
      </w:r>
      <w:r w:rsidR="001862E1">
        <w:t>selected</w:t>
      </w:r>
      <w:r w:rsidR="00165166" w:rsidRPr="00165166">
        <w:t xml:space="preserve"> through a </w:t>
      </w:r>
      <w:r w:rsidR="00165166">
        <w:t xml:space="preserve">systematic process </w:t>
      </w:r>
      <w:r w:rsidR="008846D9">
        <w:t>of</w:t>
      </w:r>
      <w:r w:rsidR="008846D9" w:rsidRPr="00165166">
        <w:t xml:space="preserve"> </w:t>
      </w:r>
      <w:r w:rsidR="00165166" w:rsidRPr="00165166">
        <w:t>eliminating all the insignificant variables at a 9</w:t>
      </w:r>
      <w:r w:rsidR="00CF2718">
        <w:t>0</w:t>
      </w:r>
      <w:r w:rsidR="00165166" w:rsidRPr="00165166">
        <w:t>% significance level.</w:t>
      </w:r>
      <w:r w:rsidR="00165166">
        <w:t xml:space="preserve"> </w:t>
      </w:r>
      <w:r>
        <w:t xml:space="preserve">The estimation results are presented in Table </w:t>
      </w:r>
      <w:r w:rsidR="004677AD">
        <w:t>2</w:t>
      </w:r>
      <w:r>
        <w:t>.</w:t>
      </w:r>
    </w:p>
    <w:p w14:paraId="0AF6886F" w14:textId="77777777" w:rsidR="00583A80" w:rsidRDefault="00583A80" w:rsidP="00EB5197"/>
    <w:p w14:paraId="011F6B24" w14:textId="77777777" w:rsidR="001D2FA4" w:rsidRDefault="001D2FA4" w:rsidP="00EB5197"/>
    <w:p w14:paraId="2A8BE1B7" w14:textId="77777777" w:rsidR="001D2FA4" w:rsidRDefault="001D2FA4" w:rsidP="00EB5197"/>
    <w:p w14:paraId="76BD188B" w14:textId="77777777" w:rsidR="001D2FA4" w:rsidRDefault="001D2FA4" w:rsidP="00EB5197"/>
    <w:p w14:paraId="4AD6CF93" w14:textId="77777777" w:rsidR="001D2FA4" w:rsidRDefault="001D2FA4" w:rsidP="00EB5197"/>
    <w:p w14:paraId="3B38C0B2" w14:textId="360D4420" w:rsidR="00583A80" w:rsidRDefault="00583A80" w:rsidP="00EB5197">
      <w:r w:rsidRPr="00FD0A6F">
        <w:rPr>
          <w:b/>
          <w:bCs/>
        </w:rPr>
        <w:lastRenderedPageBreak/>
        <w:t>Table 2:</w:t>
      </w:r>
      <w:r>
        <w:t xml:space="preserve"> </w:t>
      </w:r>
      <w:r w:rsidR="00DF3324">
        <w:t xml:space="preserve">Joint </w:t>
      </w:r>
      <w:r>
        <w:t>Bi-Directional Linear Mixed Regression (BLMR) Model Estimation Results</w:t>
      </w:r>
    </w:p>
    <w:tbl>
      <w:tblPr>
        <w:tblW w:w="889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955"/>
        <w:gridCol w:w="1280"/>
        <w:gridCol w:w="1230"/>
        <w:gridCol w:w="1234"/>
        <w:gridCol w:w="1196"/>
      </w:tblGrid>
      <w:tr w:rsidR="00B31CDB" w:rsidRPr="00B31CDB" w14:paraId="34C42D91" w14:textId="77777777" w:rsidTr="0079076F">
        <w:trPr>
          <w:trHeight w:val="300"/>
        </w:trPr>
        <w:tc>
          <w:tcPr>
            <w:tcW w:w="3955" w:type="dxa"/>
            <w:vMerge w:val="restart"/>
            <w:tcBorders>
              <w:top w:val="double" w:sz="4" w:space="0" w:color="auto"/>
              <w:bottom w:val="single" w:sz="4" w:space="0" w:color="auto"/>
            </w:tcBorders>
            <w:shd w:val="clear" w:color="auto" w:fill="auto"/>
            <w:noWrap/>
            <w:vAlign w:val="center"/>
            <w:hideMark/>
          </w:tcPr>
          <w:p w14:paraId="0632579A" w14:textId="22EE820F" w:rsidR="00B31CDB" w:rsidRPr="00B31CDB" w:rsidRDefault="00B31CDB" w:rsidP="00EB5197">
            <w:pPr>
              <w:jc w:val="left"/>
              <w:rPr>
                <w:rFonts w:eastAsia="Times New Roman" w:cs="Times New Roman"/>
                <w:szCs w:val="24"/>
              </w:rPr>
            </w:pPr>
            <w:r>
              <w:rPr>
                <w:rFonts w:eastAsia="Times New Roman" w:cs="Times New Roman"/>
                <w:szCs w:val="24"/>
              </w:rPr>
              <w:t>Model/Variable</w:t>
            </w:r>
          </w:p>
        </w:tc>
        <w:tc>
          <w:tcPr>
            <w:tcW w:w="2510" w:type="dxa"/>
            <w:gridSpan w:val="2"/>
            <w:tcBorders>
              <w:top w:val="double" w:sz="4" w:space="0" w:color="auto"/>
              <w:bottom w:val="single" w:sz="4" w:space="0" w:color="auto"/>
            </w:tcBorders>
            <w:shd w:val="clear" w:color="auto" w:fill="auto"/>
            <w:noWrap/>
            <w:vAlign w:val="center"/>
            <w:hideMark/>
          </w:tcPr>
          <w:p w14:paraId="38AC6C4B" w14:textId="1C0F3679" w:rsidR="00B31CDB" w:rsidRPr="00B31CDB" w:rsidRDefault="00B31CDB" w:rsidP="00EB5197">
            <w:pPr>
              <w:jc w:val="left"/>
              <w:rPr>
                <w:rFonts w:eastAsia="Times New Roman" w:cs="Times New Roman"/>
                <w:color w:val="000000"/>
                <w:szCs w:val="24"/>
              </w:rPr>
            </w:pPr>
            <w:r w:rsidRPr="00B31CDB">
              <w:rPr>
                <w:rFonts w:eastAsia="Times New Roman" w:cs="Times New Roman"/>
                <w:color w:val="000000"/>
                <w:szCs w:val="24"/>
              </w:rPr>
              <w:t xml:space="preserve">Covid </w:t>
            </w:r>
            <w:r w:rsidR="00841637">
              <w:rPr>
                <w:rFonts w:eastAsia="Times New Roman" w:cs="Times New Roman"/>
                <w:color w:val="000000"/>
                <w:szCs w:val="24"/>
              </w:rPr>
              <w:t xml:space="preserve">Transmission </w:t>
            </w:r>
            <w:r w:rsidRPr="00B31CDB">
              <w:rPr>
                <w:rFonts w:eastAsia="Times New Roman" w:cs="Times New Roman"/>
                <w:color w:val="000000"/>
                <w:szCs w:val="24"/>
              </w:rPr>
              <w:t>Model</w:t>
            </w:r>
          </w:p>
        </w:tc>
        <w:tc>
          <w:tcPr>
            <w:tcW w:w="2430" w:type="dxa"/>
            <w:gridSpan w:val="2"/>
            <w:tcBorders>
              <w:top w:val="double" w:sz="4" w:space="0" w:color="auto"/>
              <w:bottom w:val="single" w:sz="4" w:space="0" w:color="auto"/>
            </w:tcBorders>
            <w:shd w:val="clear" w:color="auto" w:fill="auto"/>
            <w:noWrap/>
            <w:vAlign w:val="center"/>
            <w:hideMark/>
          </w:tcPr>
          <w:p w14:paraId="6479EE9F" w14:textId="7972B725" w:rsidR="00B31CDB" w:rsidRPr="00B31CDB" w:rsidRDefault="00B31CDB" w:rsidP="00EB5197">
            <w:pPr>
              <w:jc w:val="left"/>
              <w:rPr>
                <w:rFonts w:eastAsia="Times New Roman" w:cs="Times New Roman"/>
                <w:color w:val="000000"/>
                <w:szCs w:val="24"/>
              </w:rPr>
            </w:pPr>
            <w:r w:rsidRPr="00B31CDB">
              <w:rPr>
                <w:rFonts w:eastAsia="Times New Roman" w:cs="Times New Roman"/>
                <w:color w:val="000000"/>
                <w:szCs w:val="24"/>
              </w:rPr>
              <w:t>Mobility Model</w:t>
            </w:r>
          </w:p>
        </w:tc>
      </w:tr>
      <w:tr w:rsidR="00B31CDB" w:rsidRPr="00B31CDB" w14:paraId="354781C7" w14:textId="77777777" w:rsidTr="0079076F">
        <w:trPr>
          <w:trHeight w:val="300"/>
        </w:trPr>
        <w:tc>
          <w:tcPr>
            <w:tcW w:w="3955" w:type="dxa"/>
            <w:vMerge/>
            <w:tcBorders>
              <w:top w:val="single" w:sz="4" w:space="0" w:color="auto"/>
              <w:bottom w:val="double" w:sz="4" w:space="0" w:color="auto"/>
            </w:tcBorders>
            <w:shd w:val="clear" w:color="auto" w:fill="auto"/>
            <w:noWrap/>
            <w:vAlign w:val="bottom"/>
          </w:tcPr>
          <w:p w14:paraId="0C4B396C" w14:textId="77777777" w:rsidR="00B31CDB" w:rsidRPr="00B31CDB" w:rsidRDefault="00B31CDB" w:rsidP="00EB5197">
            <w:pPr>
              <w:jc w:val="left"/>
              <w:rPr>
                <w:rFonts w:eastAsia="Times New Roman" w:cs="Times New Roman"/>
                <w:szCs w:val="24"/>
              </w:rPr>
            </w:pPr>
          </w:p>
        </w:tc>
        <w:tc>
          <w:tcPr>
            <w:tcW w:w="1280" w:type="dxa"/>
            <w:tcBorders>
              <w:top w:val="single" w:sz="4" w:space="0" w:color="auto"/>
              <w:bottom w:val="double" w:sz="4" w:space="0" w:color="auto"/>
            </w:tcBorders>
            <w:shd w:val="clear" w:color="auto" w:fill="auto"/>
            <w:noWrap/>
            <w:vAlign w:val="bottom"/>
          </w:tcPr>
          <w:p w14:paraId="45142388" w14:textId="7A49641F" w:rsidR="00B31CDB" w:rsidRPr="00B31CDB" w:rsidRDefault="00B31CDB" w:rsidP="00EB5197">
            <w:pPr>
              <w:jc w:val="left"/>
              <w:rPr>
                <w:rFonts w:eastAsia="Times New Roman" w:cs="Times New Roman"/>
                <w:color w:val="000000"/>
                <w:szCs w:val="24"/>
              </w:rPr>
            </w:pPr>
            <w:r>
              <w:rPr>
                <w:rFonts w:eastAsia="Times New Roman" w:cs="Times New Roman"/>
                <w:color w:val="000000"/>
                <w:szCs w:val="24"/>
              </w:rPr>
              <w:t>Estimates</w:t>
            </w:r>
          </w:p>
        </w:tc>
        <w:tc>
          <w:tcPr>
            <w:tcW w:w="1230" w:type="dxa"/>
            <w:tcBorders>
              <w:top w:val="single" w:sz="4" w:space="0" w:color="auto"/>
              <w:bottom w:val="double" w:sz="4" w:space="0" w:color="auto"/>
            </w:tcBorders>
            <w:shd w:val="clear" w:color="auto" w:fill="auto"/>
            <w:vAlign w:val="bottom"/>
          </w:tcPr>
          <w:p w14:paraId="3CE69C82" w14:textId="6328B85D" w:rsidR="00B31CDB" w:rsidRPr="00B31CDB" w:rsidRDefault="00B31CDB" w:rsidP="00EB5197">
            <w:pPr>
              <w:jc w:val="left"/>
              <w:rPr>
                <w:rFonts w:eastAsia="Times New Roman" w:cs="Times New Roman"/>
                <w:color w:val="000000"/>
                <w:szCs w:val="24"/>
              </w:rPr>
            </w:pPr>
            <w:r>
              <w:rPr>
                <w:rFonts w:eastAsia="Times New Roman" w:cs="Times New Roman"/>
                <w:color w:val="000000"/>
                <w:szCs w:val="24"/>
              </w:rPr>
              <w:t>t-stat</w:t>
            </w:r>
            <w:r w:rsidR="00B7469F">
              <w:rPr>
                <w:rFonts w:eastAsia="Times New Roman" w:cs="Times New Roman"/>
                <w:color w:val="000000"/>
                <w:szCs w:val="24"/>
              </w:rPr>
              <w:t>istics</w:t>
            </w:r>
          </w:p>
        </w:tc>
        <w:tc>
          <w:tcPr>
            <w:tcW w:w="1234" w:type="dxa"/>
            <w:tcBorders>
              <w:top w:val="single" w:sz="4" w:space="0" w:color="auto"/>
              <w:bottom w:val="double" w:sz="4" w:space="0" w:color="auto"/>
            </w:tcBorders>
            <w:shd w:val="clear" w:color="auto" w:fill="auto"/>
            <w:noWrap/>
            <w:vAlign w:val="bottom"/>
          </w:tcPr>
          <w:p w14:paraId="5DD51968" w14:textId="2AC3395F" w:rsidR="00B31CDB" w:rsidRPr="00B31CDB" w:rsidRDefault="00B31CDB" w:rsidP="00EB5197">
            <w:pPr>
              <w:jc w:val="left"/>
              <w:rPr>
                <w:rFonts w:eastAsia="Times New Roman" w:cs="Times New Roman"/>
                <w:color w:val="000000"/>
                <w:szCs w:val="24"/>
              </w:rPr>
            </w:pPr>
            <w:r>
              <w:rPr>
                <w:rFonts w:eastAsia="Times New Roman" w:cs="Times New Roman"/>
                <w:color w:val="000000"/>
                <w:szCs w:val="24"/>
              </w:rPr>
              <w:t>Estimates</w:t>
            </w:r>
          </w:p>
        </w:tc>
        <w:tc>
          <w:tcPr>
            <w:tcW w:w="1196" w:type="dxa"/>
            <w:tcBorders>
              <w:top w:val="single" w:sz="4" w:space="0" w:color="auto"/>
              <w:bottom w:val="double" w:sz="4" w:space="0" w:color="auto"/>
            </w:tcBorders>
            <w:shd w:val="clear" w:color="auto" w:fill="auto"/>
            <w:vAlign w:val="bottom"/>
          </w:tcPr>
          <w:p w14:paraId="760EEA82" w14:textId="6E63B431" w:rsidR="00B31CDB" w:rsidRPr="00B31CDB" w:rsidRDefault="00B7469F" w:rsidP="00EB5197">
            <w:pPr>
              <w:jc w:val="left"/>
              <w:rPr>
                <w:rFonts w:eastAsia="Times New Roman" w:cs="Times New Roman"/>
                <w:color w:val="000000"/>
                <w:szCs w:val="24"/>
              </w:rPr>
            </w:pPr>
            <w:r>
              <w:rPr>
                <w:rFonts w:eastAsia="Times New Roman" w:cs="Times New Roman"/>
                <w:color w:val="000000"/>
                <w:szCs w:val="24"/>
              </w:rPr>
              <w:t>t-statistics</w:t>
            </w:r>
          </w:p>
        </w:tc>
      </w:tr>
      <w:tr w:rsidR="00B31CDB" w:rsidRPr="00B31CDB" w14:paraId="0832B459" w14:textId="77777777" w:rsidTr="0079076F">
        <w:trPr>
          <w:trHeight w:val="302"/>
        </w:trPr>
        <w:tc>
          <w:tcPr>
            <w:tcW w:w="3955" w:type="dxa"/>
            <w:tcBorders>
              <w:top w:val="double" w:sz="4" w:space="0" w:color="auto"/>
            </w:tcBorders>
            <w:shd w:val="clear" w:color="auto" w:fill="auto"/>
            <w:noWrap/>
            <w:vAlign w:val="bottom"/>
          </w:tcPr>
          <w:p w14:paraId="2E74C604" w14:textId="06B7164E" w:rsidR="00B31CDB" w:rsidRPr="00B31CDB" w:rsidRDefault="00FB77B1" w:rsidP="00EB5197">
            <w:pPr>
              <w:jc w:val="left"/>
              <w:rPr>
                <w:rFonts w:eastAsia="Times New Roman" w:cs="Times New Roman"/>
                <w:color w:val="000000"/>
                <w:szCs w:val="24"/>
              </w:rPr>
            </w:pPr>
            <w:r>
              <w:rPr>
                <w:rFonts w:eastAsia="Times New Roman" w:cs="Times New Roman"/>
                <w:color w:val="000000"/>
                <w:szCs w:val="24"/>
              </w:rPr>
              <w:t>Constant</w:t>
            </w:r>
          </w:p>
        </w:tc>
        <w:tc>
          <w:tcPr>
            <w:tcW w:w="1280" w:type="dxa"/>
            <w:tcBorders>
              <w:top w:val="double" w:sz="4" w:space="0" w:color="auto"/>
            </w:tcBorders>
            <w:shd w:val="clear" w:color="auto" w:fill="auto"/>
            <w:noWrap/>
            <w:vAlign w:val="center"/>
          </w:tcPr>
          <w:p w14:paraId="50DD52C1" w14:textId="2360C0D7" w:rsidR="00B31CDB" w:rsidRPr="00ED094D" w:rsidRDefault="000335EC" w:rsidP="00EB5197">
            <w:pPr>
              <w:jc w:val="left"/>
              <w:rPr>
                <w:rFonts w:eastAsia="Times New Roman" w:cs="Times New Roman"/>
                <w:color w:val="000000"/>
                <w:szCs w:val="24"/>
              </w:rPr>
            </w:pPr>
            <w:r w:rsidRPr="00ED094D">
              <w:rPr>
                <w:rFonts w:eastAsia="Times New Roman" w:cs="Times New Roman"/>
                <w:color w:val="000000"/>
                <w:szCs w:val="24"/>
              </w:rPr>
              <w:t>1.337</w:t>
            </w:r>
          </w:p>
        </w:tc>
        <w:tc>
          <w:tcPr>
            <w:tcW w:w="1230" w:type="dxa"/>
            <w:tcBorders>
              <w:top w:val="double" w:sz="4" w:space="0" w:color="auto"/>
            </w:tcBorders>
            <w:shd w:val="clear" w:color="auto" w:fill="auto"/>
            <w:noWrap/>
            <w:vAlign w:val="center"/>
          </w:tcPr>
          <w:p w14:paraId="55BCA502" w14:textId="350F3316" w:rsidR="00B31CDB" w:rsidRPr="00ED094D" w:rsidRDefault="000335EC" w:rsidP="00EB5197">
            <w:pPr>
              <w:jc w:val="left"/>
              <w:rPr>
                <w:rFonts w:eastAsia="Times New Roman" w:cs="Times New Roman"/>
                <w:color w:val="000000"/>
                <w:szCs w:val="24"/>
              </w:rPr>
            </w:pPr>
            <w:r w:rsidRPr="00ED094D">
              <w:rPr>
                <w:rFonts w:eastAsia="Times New Roman" w:cs="Times New Roman"/>
                <w:color w:val="000000"/>
                <w:szCs w:val="24"/>
              </w:rPr>
              <w:t>12.029</w:t>
            </w:r>
          </w:p>
        </w:tc>
        <w:tc>
          <w:tcPr>
            <w:tcW w:w="1234" w:type="dxa"/>
            <w:tcBorders>
              <w:top w:val="double" w:sz="4" w:space="0" w:color="auto"/>
            </w:tcBorders>
            <w:shd w:val="clear" w:color="auto" w:fill="auto"/>
            <w:noWrap/>
            <w:vAlign w:val="center"/>
          </w:tcPr>
          <w:p w14:paraId="411310F9" w14:textId="2BBD6C5A" w:rsidR="00B31CDB" w:rsidRPr="00ED094D" w:rsidRDefault="00BC64D5" w:rsidP="00EB5197">
            <w:pPr>
              <w:jc w:val="left"/>
              <w:rPr>
                <w:rFonts w:eastAsia="Times New Roman" w:cs="Times New Roman"/>
                <w:color w:val="000000"/>
                <w:szCs w:val="24"/>
              </w:rPr>
            </w:pPr>
            <w:r w:rsidRPr="00ED094D">
              <w:rPr>
                <w:rFonts w:eastAsia="Times New Roman" w:cs="Times New Roman"/>
                <w:color w:val="000000"/>
                <w:szCs w:val="24"/>
              </w:rPr>
              <w:t>2.864</w:t>
            </w:r>
          </w:p>
        </w:tc>
        <w:tc>
          <w:tcPr>
            <w:tcW w:w="1196" w:type="dxa"/>
            <w:tcBorders>
              <w:top w:val="double" w:sz="4" w:space="0" w:color="auto"/>
            </w:tcBorders>
            <w:shd w:val="clear" w:color="auto" w:fill="auto"/>
            <w:noWrap/>
            <w:vAlign w:val="center"/>
          </w:tcPr>
          <w:p w14:paraId="137EF2BB" w14:textId="3420830F" w:rsidR="00B31CDB" w:rsidRPr="00ED094D" w:rsidRDefault="00BC64D5" w:rsidP="00EB5197">
            <w:pPr>
              <w:jc w:val="left"/>
              <w:rPr>
                <w:rFonts w:eastAsia="Times New Roman" w:cs="Times New Roman"/>
                <w:color w:val="000000"/>
                <w:szCs w:val="24"/>
              </w:rPr>
            </w:pPr>
            <w:r w:rsidRPr="00ED094D">
              <w:rPr>
                <w:rFonts w:eastAsia="Times New Roman" w:cs="Times New Roman"/>
                <w:color w:val="000000"/>
                <w:szCs w:val="24"/>
              </w:rPr>
              <w:t>77.125</w:t>
            </w:r>
          </w:p>
        </w:tc>
      </w:tr>
      <w:tr w:rsidR="00FB77B1" w:rsidRPr="00B31CDB" w14:paraId="7AA69B2F" w14:textId="77777777" w:rsidTr="0079076F">
        <w:trPr>
          <w:trHeight w:val="302"/>
        </w:trPr>
        <w:tc>
          <w:tcPr>
            <w:tcW w:w="8895" w:type="dxa"/>
            <w:gridSpan w:val="5"/>
            <w:tcBorders>
              <w:top w:val="double" w:sz="4" w:space="0" w:color="auto"/>
            </w:tcBorders>
            <w:shd w:val="clear" w:color="auto" w:fill="auto"/>
            <w:noWrap/>
            <w:vAlign w:val="bottom"/>
          </w:tcPr>
          <w:p w14:paraId="4789559F" w14:textId="5B16C27D" w:rsidR="00FB77B1" w:rsidRPr="0079076F" w:rsidRDefault="00FB77B1" w:rsidP="00EB5197">
            <w:pPr>
              <w:jc w:val="left"/>
              <w:rPr>
                <w:rFonts w:eastAsia="Times New Roman" w:cs="Times New Roman"/>
                <w:i/>
                <w:iCs/>
                <w:color w:val="000000"/>
                <w:szCs w:val="24"/>
              </w:rPr>
            </w:pPr>
            <w:r w:rsidRPr="0079076F">
              <w:rPr>
                <w:rFonts w:eastAsia="Times New Roman" w:cs="Times New Roman"/>
                <w:i/>
                <w:iCs/>
                <w:color w:val="000000"/>
                <w:szCs w:val="24"/>
              </w:rPr>
              <w:t>Temporal Factors</w:t>
            </w:r>
            <w:r w:rsidR="00AA1428" w:rsidRPr="0079076F">
              <w:rPr>
                <w:rFonts w:eastAsia="Times New Roman" w:cs="Times New Roman"/>
                <w:i/>
                <w:iCs/>
                <w:color w:val="000000"/>
                <w:szCs w:val="24"/>
              </w:rPr>
              <w:t xml:space="preserve"> (Base: Vaccination </w:t>
            </w:r>
            <w:r w:rsidR="005937C4" w:rsidRPr="0079076F">
              <w:rPr>
                <w:rFonts w:eastAsia="Times New Roman" w:cs="Times New Roman"/>
                <w:i/>
                <w:iCs/>
                <w:color w:val="000000"/>
                <w:szCs w:val="24"/>
              </w:rPr>
              <w:t>P</w:t>
            </w:r>
            <w:r w:rsidR="00AA1428" w:rsidRPr="0079076F">
              <w:rPr>
                <w:rFonts w:eastAsia="Times New Roman" w:cs="Times New Roman"/>
                <w:i/>
                <w:iCs/>
                <w:color w:val="000000"/>
                <w:szCs w:val="24"/>
              </w:rPr>
              <w:t>hase)</w:t>
            </w:r>
          </w:p>
        </w:tc>
      </w:tr>
      <w:tr w:rsidR="00FB77B1" w:rsidRPr="00B31CDB" w14:paraId="696C33EF" w14:textId="77777777" w:rsidTr="0079076F">
        <w:trPr>
          <w:trHeight w:val="302"/>
        </w:trPr>
        <w:tc>
          <w:tcPr>
            <w:tcW w:w="3955" w:type="dxa"/>
            <w:tcBorders>
              <w:top w:val="double" w:sz="4" w:space="0" w:color="auto"/>
            </w:tcBorders>
            <w:shd w:val="clear" w:color="auto" w:fill="auto"/>
            <w:noWrap/>
            <w:vAlign w:val="bottom"/>
          </w:tcPr>
          <w:p w14:paraId="1AD5DDF9" w14:textId="4BFECAA4"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Pre pandemic period</w:t>
            </w:r>
          </w:p>
        </w:tc>
        <w:tc>
          <w:tcPr>
            <w:tcW w:w="1280" w:type="dxa"/>
            <w:tcBorders>
              <w:top w:val="double" w:sz="4" w:space="0" w:color="auto"/>
            </w:tcBorders>
            <w:shd w:val="clear" w:color="auto" w:fill="auto"/>
            <w:noWrap/>
            <w:vAlign w:val="center"/>
          </w:tcPr>
          <w:p w14:paraId="19B166F0" w14:textId="08B0D02C"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-1.911</w:t>
            </w:r>
          </w:p>
        </w:tc>
        <w:tc>
          <w:tcPr>
            <w:tcW w:w="1230" w:type="dxa"/>
            <w:tcBorders>
              <w:top w:val="double" w:sz="4" w:space="0" w:color="auto"/>
            </w:tcBorders>
            <w:shd w:val="clear" w:color="auto" w:fill="auto"/>
            <w:noWrap/>
            <w:vAlign w:val="center"/>
          </w:tcPr>
          <w:p w14:paraId="45C6B19F" w14:textId="022ECC41"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-32.007</w:t>
            </w:r>
          </w:p>
        </w:tc>
        <w:tc>
          <w:tcPr>
            <w:tcW w:w="1234" w:type="dxa"/>
            <w:tcBorders>
              <w:top w:val="double" w:sz="4" w:space="0" w:color="auto"/>
            </w:tcBorders>
            <w:shd w:val="clear" w:color="auto" w:fill="auto"/>
            <w:noWrap/>
            <w:vAlign w:val="center"/>
          </w:tcPr>
          <w:p w14:paraId="7298EF95" w14:textId="585E89CB"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-0.8</w:t>
            </w:r>
            <w:r>
              <w:rPr>
                <w:rFonts w:eastAsia="Times New Roman" w:cs="Times New Roman"/>
                <w:color w:val="000000"/>
                <w:szCs w:val="24"/>
              </w:rPr>
              <w:t>00</w:t>
            </w:r>
          </w:p>
        </w:tc>
        <w:tc>
          <w:tcPr>
            <w:tcW w:w="1196" w:type="dxa"/>
            <w:tcBorders>
              <w:top w:val="double" w:sz="4" w:space="0" w:color="auto"/>
            </w:tcBorders>
            <w:shd w:val="clear" w:color="auto" w:fill="auto"/>
            <w:noWrap/>
            <w:vAlign w:val="center"/>
          </w:tcPr>
          <w:p w14:paraId="702C2AA0" w14:textId="3DD902B8"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-102.829</w:t>
            </w:r>
          </w:p>
        </w:tc>
      </w:tr>
      <w:tr w:rsidR="00FB77B1" w:rsidRPr="00B31CDB" w14:paraId="33F5C430" w14:textId="77777777" w:rsidTr="0079076F">
        <w:trPr>
          <w:trHeight w:val="302"/>
        </w:trPr>
        <w:tc>
          <w:tcPr>
            <w:tcW w:w="3955" w:type="dxa"/>
            <w:shd w:val="clear" w:color="auto" w:fill="auto"/>
            <w:noWrap/>
            <w:vAlign w:val="bottom"/>
            <w:hideMark/>
          </w:tcPr>
          <w:p w14:paraId="1C3D6797" w14:textId="77777777"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1st wave</w:t>
            </w:r>
          </w:p>
        </w:tc>
        <w:tc>
          <w:tcPr>
            <w:tcW w:w="1280" w:type="dxa"/>
            <w:shd w:val="clear" w:color="auto" w:fill="auto"/>
            <w:noWrap/>
            <w:vAlign w:val="center"/>
            <w:hideMark/>
          </w:tcPr>
          <w:p w14:paraId="7ABBDA9A" w14:textId="0AE1DCD9" w:rsidR="00FB77B1" w:rsidRPr="00B31CDB" w:rsidRDefault="00D00C41" w:rsidP="00EB5197">
            <w:pPr>
              <w:jc w:val="left"/>
              <w:rPr>
                <w:rFonts w:eastAsia="Times New Roman" w:cs="Times New Roman"/>
                <w:color w:val="000000"/>
                <w:szCs w:val="24"/>
              </w:rPr>
            </w:pPr>
            <w:r>
              <w:rPr>
                <w:rFonts w:eastAsia="Times New Roman" w:cs="Times New Roman"/>
                <w:color w:val="000000"/>
                <w:szCs w:val="24"/>
              </w:rPr>
              <w:t>0.480</w:t>
            </w:r>
          </w:p>
        </w:tc>
        <w:tc>
          <w:tcPr>
            <w:tcW w:w="1230" w:type="dxa"/>
            <w:shd w:val="clear" w:color="auto" w:fill="auto"/>
            <w:noWrap/>
            <w:vAlign w:val="center"/>
            <w:hideMark/>
          </w:tcPr>
          <w:p w14:paraId="13BE427B" w14:textId="77777777"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53.178</w:t>
            </w:r>
          </w:p>
        </w:tc>
        <w:tc>
          <w:tcPr>
            <w:tcW w:w="1234" w:type="dxa"/>
            <w:shd w:val="clear" w:color="auto" w:fill="auto"/>
            <w:noWrap/>
            <w:vAlign w:val="center"/>
            <w:hideMark/>
          </w:tcPr>
          <w:p w14:paraId="050917F8" w14:textId="3A5CF988" w:rsidR="00FB77B1" w:rsidRPr="00B31CDB" w:rsidRDefault="00803AD7" w:rsidP="00EB5197">
            <w:pPr>
              <w:jc w:val="left"/>
              <w:rPr>
                <w:rFonts w:eastAsia="Times New Roman" w:cs="Times New Roman"/>
                <w:color w:val="000000"/>
                <w:szCs w:val="24"/>
              </w:rPr>
            </w:pPr>
            <w:r>
              <w:rPr>
                <w:rFonts w:eastAsia="Times New Roman" w:cs="Times New Roman"/>
                <w:color w:val="000000"/>
                <w:szCs w:val="24"/>
              </w:rPr>
              <w:t>-0.428</w:t>
            </w:r>
          </w:p>
        </w:tc>
        <w:tc>
          <w:tcPr>
            <w:tcW w:w="1196" w:type="dxa"/>
            <w:shd w:val="clear" w:color="auto" w:fill="auto"/>
            <w:noWrap/>
            <w:vAlign w:val="center"/>
            <w:hideMark/>
          </w:tcPr>
          <w:p w14:paraId="48E929CF" w14:textId="28887F27"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49.161</w:t>
            </w:r>
          </w:p>
        </w:tc>
      </w:tr>
      <w:tr w:rsidR="00FB77B1" w:rsidRPr="00B31CDB" w14:paraId="38C8DD8D" w14:textId="77777777" w:rsidTr="0079076F">
        <w:trPr>
          <w:trHeight w:val="302"/>
        </w:trPr>
        <w:tc>
          <w:tcPr>
            <w:tcW w:w="3955" w:type="dxa"/>
            <w:shd w:val="clear" w:color="auto" w:fill="auto"/>
            <w:noWrap/>
            <w:vAlign w:val="bottom"/>
            <w:hideMark/>
          </w:tcPr>
          <w:p w14:paraId="7674450B" w14:textId="77777777"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2nd wave</w:t>
            </w:r>
          </w:p>
        </w:tc>
        <w:tc>
          <w:tcPr>
            <w:tcW w:w="1280" w:type="dxa"/>
            <w:shd w:val="clear" w:color="auto" w:fill="auto"/>
            <w:noWrap/>
            <w:vAlign w:val="center"/>
            <w:hideMark/>
          </w:tcPr>
          <w:p w14:paraId="6589AE81" w14:textId="2DF9C244" w:rsidR="00FB77B1" w:rsidRPr="00B31CDB" w:rsidRDefault="00D00C41" w:rsidP="00EB5197">
            <w:pPr>
              <w:jc w:val="left"/>
              <w:rPr>
                <w:rFonts w:eastAsia="Times New Roman" w:cs="Times New Roman"/>
                <w:color w:val="000000"/>
                <w:szCs w:val="24"/>
              </w:rPr>
            </w:pPr>
            <w:r>
              <w:rPr>
                <w:rFonts w:eastAsia="Times New Roman" w:cs="Times New Roman"/>
                <w:color w:val="000000"/>
                <w:szCs w:val="24"/>
              </w:rPr>
              <w:t>1.630</w:t>
            </w:r>
          </w:p>
        </w:tc>
        <w:tc>
          <w:tcPr>
            <w:tcW w:w="1230" w:type="dxa"/>
            <w:shd w:val="clear" w:color="auto" w:fill="auto"/>
            <w:noWrap/>
            <w:vAlign w:val="center"/>
            <w:hideMark/>
          </w:tcPr>
          <w:p w14:paraId="6DF88046" w14:textId="77777777"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182.419</w:t>
            </w:r>
          </w:p>
        </w:tc>
        <w:tc>
          <w:tcPr>
            <w:tcW w:w="1234" w:type="dxa"/>
            <w:shd w:val="clear" w:color="auto" w:fill="auto"/>
            <w:noWrap/>
            <w:vAlign w:val="center"/>
            <w:hideMark/>
          </w:tcPr>
          <w:p w14:paraId="715DEF78" w14:textId="1BDDAA7A" w:rsidR="00FB77B1" w:rsidRPr="00B31CDB" w:rsidRDefault="00803AD7" w:rsidP="00EB5197">
            <w:pPr>
              <w:jc w:val="left"/>
              <w:rPr>
                <w:rFonts w:eastAsia="Times New Roman" w:cs="Times New Roman"/>
                <w:color w:val="000000"/>
                <w:szCs w:val="24"/>
              </w:rPr>
            </w:pPr>
            <w:r>
              <w:rPr>
                <w:rFonts w:eastAsia="Times New Roman" w:cs="Times New Roman"/>
                <w:color w:val="000000"/>
                <w:szCs w:val="24"/>
              </w:rPr>
              <w:t>-0.180</w:t>
            </w:r>
          </w:p>
        </w:tc>
        <w:tc>
          <w:tcPr>
            <w:tcW w:w="1196" w:type="dxa"/>
            <w:shd w:val="clear" w:color="auto" w:fill="auto"/>
            <w:noWrap/>
            <w:vAlign w:val="center"/>
            <w:hideMark/>
          </w:tcPr>
          <w:p w14:paraId="3BB8BA1E" w14:textId="7C8C69B3" w:rsidR="00FB77B1" w:rsidRPr="00B31CDB" w:rsidRDefault="00FB77B1" w:rsidP="00EB5197">
            <w:pPr>
              <w:jc w:val="left"/>
              <w:rPr>
                <w:rFonts w:eastAsia="Times New Roman" w:cs="Times New Roman"/>
                <w:color w:val="000000"/>
                <w:szCs w:val="24"/>
              </w:rPr>
            </w:pPr>
            <w:r w:rsidRPr="00B31CDB">
              <w:rPr>
                <w:rFonts w:eastAsia="Times New Roman" w:cs="Times New Roman"/>
                <w:color w:val="000000"/>
                <w:szCs w:val="24"/>
              </w:rPr>
              <w:t>21.493</w:t>
            </w:r>
          </w:p>
        </w:tc>
      </w:tr>
      <w:tr w:rsidR="00FB77B1" w:rsidRPr="00B31CDB" w14:paraId="681B4963" w14:textId="77777777" w:rsidTr="0079076F">
        <w:trPr>
          <w:trHeight w:val="302"/>
        </w:trPr>
        <w:tc>
          <w:tcPr>
            <w:tcW w:w="8895" w:type="dxa"/>
            <w:gridSpan w:val="5"/>
            <w:shd w:val="clear" w:color="auto" w:fill="auto"/>
            <w:noWrap/>
            <w:vAlign w:val="bottom"/>
            <w:hideMark/>
          </w:tcPr>
          <w:p w14:paraId="3EE81285" w14:textId="5D9103EB" w:rsidR="00FB77B1" w:rsidRPr="0079076F" w:rsidRDefault="00FB77B1" w:rsidP="00EB5197">
            <w:pPr>
              <w:jc w:val="left"/>
              <w:rPr>
                <w:rFonts w:eastAsia="Times New Roman" w:cs="Times New Roman"/>
                <w:i/>
                <w:iCs/>
                <w:szCs w:val="24"/>
              </w:rPr>
            </w:pPr>
            <w:r w:rsidRPr="0079076F">
              <w:rPr>
                <w:rFonts w:eastAsia="Times New Roman" w:cs="Times New Roman"/>
                <w:i/>
                <w:iCs/>
                <w:color w:val="000000"/>
                <w:szCs w:val="24"/>
              </w:rPr>
              <w:t>Mobility-related Variables</w:t>
            </w:r>
          </w:p>
        </w:tc>
      </w:tr>
      <w:tr w:rsidR="005227E5" w:rsidRPr="00B31CDB" w14:paraId="45D125F9" w14:textId="77777777" w:rsidTr="0079076F">
        <w:trPr>
          <w:trHeight w:val="302"/>
        </w:trPr>
        <w:tc>
          <w:tcPr>
            <w:tcW w:w="3955" w:type="dxa"/>
            <w:shd w:val="clear" w:color="auto" w:fill="auto"/>
            <w:noWrap/>
            <w:vAlign w:val="bottom"/>
            <w:hideMark/>
          </w:tcPr>
          <w:p w14:paraId="5E303D14" w14:textId="77777777" w:rsidR="005227E5"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Mobility, 2 weeks lag, </w:t>
            </w:r>
          </w:p>
          <w:p w14:paraId="79DB4955" w14:textId="7BA403C0"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in initial phase of pandemic</w:t>
            </w:r>
          </w:p>
        </w:tc>
        <w:tc>
          <w:tcPr>
            <w:tcW w:w="1280" w:type="dxa"/>
            <w:shd w:val="clear" w:color="auto" w:fill="auto"/>
            <w:noWrap/>
            <w:vAlign w:val="center"/>
            <w:hideMark/>
          </w:tcPr>
          <w:p w14:paraId="6C993112" w14:textId="08BBB9E5"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0.204</w:t>
            </w:r>
          </w:p>
        </w:tc>
        <w:tc>
          <w:tcPr>
            <w:tcW w:w="1230" w:type="dxa"/>
            <w:shd w:val="clear" w:color="auto" w:fill="auto"/>
            <w:noWrap/>
            <w:vAlign w:val="center"/>
            <w:hideMark/>
          </w:tcPr>
          <w:p w14:paraId="4BFC6EA8" w14:textId="72B7852A"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14.958</w:t>
            </w:r>
          </w:p>
        </w:tc>
        <w:tc>
          <w:tcPr>
            <w:tcW w:w="1234" w:type="dxa"/>
            <w:shd w:val="clear" w:color="auto" w:fill="auto"/>
            <w:noWrap/>
            <w:vAlign w:val="center"/>
            <w:hideMark/>
          </w:tcPr>
          <w:p w14:paraId="2E2E0B42"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shd w:val="clear" w:color="auto" w:fill="auto"/>
            <w:noWrap/>
            <w:vAlign w:val="center"/>
            <w:hideMark/>
          </w:tcPr>
          <w:p w14:paraId="3772AFDB"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76864DDA" w14:textId="77777777" w:rsidTr="0079076F">
        <w:trPr>
          <w:trHeight w:val="302"/>
        </w:trPr>
        <w:tc>
          <w:tcPr>
            <w:tcW w:w="3955" w:type="dxa"/>
            <w:tcBorders>
              <w:bottom w:val="double" w:sz="4" w:space="0" w:color="auto"/>
            </w:tcBorders>
            <w:shd w:val="clear" w:color="auto" w:fill="auto"/>
            <w:noWrap/>
            <w:vAlign w:val="bottom"/>
            <w:hideMark/>
          </w:tcPr>
          <w:p w14:paraId="238B2836" w14:textId="77777777" w:rsidR="005227E5"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Mobility, 2 weeks lag, </w:t>
            </w:r>
          </w:p>
          <w:p w14:paraId="03AA8AE4" w14:textId="11408F4F"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in </w:t>
            </w:r>
            <w:r>
              <w:rPr>
                <w:rFonts w:eastAsia="Times New Roman" w:cs="Times New Roman"/>
                <w:color w:val="000000"/>
                <w:szCs w:val="24"/>
              </w:rPr>
              <w:t>1</w:t>
            </w:r>
            <w:r w:rsidRPr="0079076F">
              <w:rPr>
                <w:rFonts w:eastAsia="Times New Roman" w:cs="Times New Roman"/>
                <w:color w:val="000000"/>
                <w:szCs w:val="24"/>
              </w:rPr>
              <w:t>st</w:t>
            </w:r>
            <w:r>
              <w:rPr>
                <w:rFonts w:eastAsia="Times New Roman" w:cs="Times New Roman"/>
                <w:color w:val="000000"/>
                <w:szCs w:val="24"/>
              </w:rPr>
              <w:t xml:space="preserve"> and 2</w:t>
            </w:r>
            <w:r w:rsidRPr="0079076F">
              <w:rPr>
                <w:rFonts w:eastAsia="Times New Roman" w:cs="Times New Roman"/>
                <w:color w:val="000000"/>
                <w:szCs w:val="24"/>
              </w:rPr>
              <w:t>nd</w:t>
            </w:r>
            <w:r>
              <w:rPr>
                <w:rFonts w:eastAsia="Times New Roman" w:cs="Times New Roman"/>
                <w:color w:val="000000"/>
                <w:szCs w:val="24"/>
              </w:rPr>
              <w:t xml:space="preserve"> wave</w:t>
            </w:r>
            <w:r w:rsidRPr="00B31CDB">
              <w:rPr>
                <w:rFonts w:eastAsia="Times New Roman" w:cs="Times New Roman"/>
                <w:color w:val="000000"/>
                <w:szCs w:val="24"/>
              </w:rPr>
              <w:t xml:space="preserve"> of pandemic</w:t>
            </w:r>
          </w:p>
        </w:tc>
        <w:tc>
          <w:tcPr>
            <w:tcW w:w="1280" w:type="dxa"/>
            <w:tcBorders>
              <w:bottom w:val="double" w:sz="4" w:space="0" w:color="auto"/>
            </w:tcBorders>
            <w:shd w:val="clear" w:color="auto" w:fill="auto"/>
            <w:noWrap/>
            <w:vAlign w:val="center"/>
            <w:hideMark/>
          </w:tcPr>
          <w:p w14:paraId="409F009B" w14:textId="0C176445" w:rsidR="005227E5" w:rsidRPr="00B31CDB" w:rsidRDefault="005227E5" w:rsidP="00EB5197">
            <w:pPr>
              <w:jc w:val="left"/>
              <w:rPr>
                <w:rFonts w:eastAsia="Times New Roman" w:cs="Times New Roman"/>
                <w:color w:val="000000"/>
                <w:szCs w:val="24"/>
              </w:rPr>
            </w:pPr>
            <w:r>
              <w:rPr>
                <w:rFonts w:eastAsia="Times New Roman" w:cs="Times New Roman"/>
                <w:color w:val="000000"/>
                <w:szCs w:val="24"/>
              </w:rPr>
              <w:t>0.471</w:t>
            </w:r>
          </w:p>
        </w:tc>
        <w:tc>
          <w:tcPr>
            <w:tcW w:w="1230" w:type="dxa"/>
            <w:tcBorders>
              <w:bottom w:val="double" w:sz="4" w:space="0" w:color="auto"/>
            </w:tcBorders>
            <w:shd w:val="clear" w:color="auto" w:fill="auto"/>
            <w:noWrap/>
            <w:vAlign w:val="center"/>
            <w:hideMark/>
          </w:tcPr>
          <w:p w14:paraId="2EE7017E" w14:textId="7A40F74E" w:rsidR="005227E5" w:rsidRPr="00B31CDB" w:rsidRDefault="005227E5" w:rsidP="00EB5197">
            <w:pPr>
              <w:jc w:val="left"/>
              <w:rPr>
                <w:rFonts w:eastAsia="Times New Roman" w:cs="Times New Roman"/>
                <w:color w:val="000000"/>
                <w:szCs w:val="24"/>
              </w:rPr>
            </w:pPr>
            <w:r>
              <w:rPr>
                <w:rFonts w:eastAsia="Times New Roman" w:cs="Times New Roman"/>
                <w:color w:val="000000"/>
                <w:szCs w:val="24"/>
              </w:rPr>
              <w:t>27.909</w:t>
            </w:r>
          </w:p>
        </w:tc>
        <w:tc>
          <w:tcPr>
            <w:tcW w:w="1234" w:type="dxa"/>
            <w:tcBorders>
              <w:bottom w:val="double" w:sz="4" w:space="0" w:color="auto"/>
            </w:tcBorders>
            <w:shd w:val="clear" w:color="auto" w:fill="auto"/>
            <w:noWrap/>
            <w:vAlign w:val="center"/>
            <w:hideMark/>
          </w:tcPr>
          <w:p w14:paraId="6F3107A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tcBorders>
              <w:bottom w:val="double" w:sz="4" w:space="0" w:color="auto"/>
            </w:tcBorders>
            <w:shd w:val="clear" w:color="auto" w:fill="auto"/>
            <w:noWrap/>
            <w:vAlign w:val="center"/>
            <w:hideMark/>
          </w:tcPr>
          <w:p w14:paraId="47006DEF"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2DF74EBC" w14:textId="77777777" w:rsidTr="0079076F">
        <w:trPr>
          <w:trHeight w:val="302"/>
        </w:trPr>
        <w:tc>
          <w:tcPr>
            <w:tcW w:w="8895" w:type="dxa"/>
            <w:gridSpan w:val="5"/>
            <w:tcBorders>
              <w:top w:val="double" w:sz="4" w:space="0" w:color="auto"/>
              <w:bottom w:val="double" w:sz="4" w:space="0" w:color="auto"/>
            </w:tcBorders>
            <w:shd w:val="clear" w:color="auto" w:fill="auto"/>
            <w:noWrap/>
            <w:vAlign w:val="bottom"/>
            <w:hideMark/>
          </w:tcPr>
          <w:p w14:paraId="1CC0DD52" w14:textId="7DC927C0" w:rsidR="005227E5" w:rsidRPr="0079076F" w:rsidRDefault="005227E5" w:rsidP="00EB5197">
            <w:pPr>
              <w:jc w:val="left"/>
              <w:rPr>
                <w:rFonts w:eastAsia="Times New Roman" w:cs="Times New Roman"/>
                <w:i/>
                <w:iCs/>
                <w:szCs w:val="24"/>
              </w:rPr>
            </w:pPr>
            <w:r w:rsidRPr="0079076F">
              <w:rPr>
                <w:rFonts w:eastAsia="Times New Roman" w:cs="Times New Roman"/>
                <w:i/>
                <w:iCs/>
                <w:color w:val="000000"/>
                <w:szCs w:val="24"/>
              </w:rPr>
              <w:t>Covid-related Variables</w:t>
            </w:r>
          </w:p>
        </w:tc>
      </w:tr>
      <w:tr w:rsidR="005227E5" w:rsidRPr="00B31CDB" w14:paraId="237B438C" w14:textId="77777777" w:rsidTr="0079076F">
        <w:trPr>
          <w:trHeight w:val="302"/>
        </w:trPr>
        <w:tc>
          <w:tcPr>
            <w:tcW w:w="3955" w:type="dxa"/>
            <w:shd w:val="clear" w:color="auto" w:fill="auto"/>
            <w:noWrap/>
            <w:vAlign w:val="bottom"/>
            <w:hideMark/>
          </w:tcPr>
          <w:p w14:paraId="42799B22" w14:textId="77777777" w:rsidR="005227E5"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Covid cases, 2 weeks lag, </w:t>
            </w:r>
          </w:p>
          <w:p w14:paraId="15D34173" w14:textId="7B67BAFE"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in initial phase of pandemic</w:t>
            </w:r>
          </w:p>
        </w:tc>
        <w:tc>
          <w:tcPr>
            <w:tcW w:w="1280" w:type="dxa"/>
            <w:shd w:val="clear" w:color="auto" w:fill="auto"/>
            <w:noWrap/>
            <w:vAlign w:val="center"/>
            <w:hideMark/>
          </w:tcPr>
          <w:p w14:paraId="64828416"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0" w:type="dxa"/>
            <w:shd w:val="clear" w:color="auto" w:fill="auto"/>
            <w:noWrap/>
            <w:vAlign w:val="center"/>
            <w:hideMark/>
          </w:tcPr>
          <w:p w14:paraId="7E12196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4" w:type="dxa"/>
            <w:shd w:val="clear" w:color="auto" w:fill="auto"/>
            <w:noWrap/>
            <w:vAlign w:val="center"/>
          </w:tcPr>
          <w:p w14:paraId="176492D4" w14:textId="4A0A03FD"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-0.63</w:t>
            </w:r>
            <w:r w:rsidR="006561FD">
              <w:rPr>
                <w:rFonts w:eastAsia="Times New Roman" w:cs="Times New Roman"/>
                <w:color w:val="000000"/>
                <w:szCs w:val="24"/>
              </w:rPr>
              <w:t>1</w:t>
            </w:r>
          </w:p>
        </w:tc>
        <w:tc>
          <w:tcPr>
            <w:tcW w:w="1196" w:type="dxa"/>
            <w:shd w:val="clear" w:color="auto" w:fill="auto"/>
            <w:noWrap/>
            <w:vAlign w:val="center"/>
          </w:tcPr>
          <w:p w14:paraId="08619AC6" w14:textId="116DEF2D"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-6.56</w:t>
            </w:r>
          </w:p>
        </w:tc>
      </w:tr>
      <w:tr w:rsidR="005227E5" w:rsidRPr="00B31CDB" w14:paraId="0B795074" w14:textId="77777777" w:rsidTr="0079076F">
        <w:trPr>
          <w:trHeight w:val="302"/>
        </w:trPr>
        <w:tc>
          <w:tcPr>
            <w:tcW w:w="3955" w:type="dxa"/>
            <w:shd w:val="clear" w:color="auto" w:fill="auto"/>
            <w:noWrap/>
            <w:vAlign w:val="bottom"/>
            <w:hideMark/>
          </w:tcPr>
          <w:p w14:paraId="4E4DC565" w14:textId="77777777" w:rsidR="005227E5"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Covid case, 2 weeks lag, </w:t>
            </w:r>
          </w:p>
          <w:p w14:paraId="4B65CFF2" w14:textId="5002CA01"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during 1st wave of pandemic</w:t>
            </w:r>
          </w:p>
        </w:tc>
        <w:tc>
          <w:tcPr>
            <w:tcW w:w="1280" w:type="dxa"/>
            <w:shd w:val="clear" w:color="auto" w:fill="auto"/>
            <w:noWrap/>
            <w:vAlign w:val="center"/>
            <w:hideMark/>
          </w:tcPr>
          <w:p w14:paraId="1BE746A4"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0" w:type="dxa"/>
            <w:shd w:val="clear" w:color="auto" w:fill="auto"/>
            <w:noWrap/>
            <w:vAlign w:val="center"/>
            <w:hideMark/>
          </w:tcPr>
          <w:p w14:paraId="128DBF3F"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4" w:type="dxa"/>
            <w:shd w:val="clear" w:color="auto" w:fill="auto"/>
            <w:noWrap/>
            <w:vAlign w:val="center"/>
          </w:tcPr>
          <w:p w14:paraId="62EE9A2B" w14:textId="4691C11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-0.4</w:t>
            </w:r>
            <w:r>
              <w:rPr>
                <w:rFonts w:eastAsia="Times New Roman" w:cs="Times New Roman"/>
                <w:color w:val="000000"/>
                <w:szCs w:val="24"/>
              </w:rPr>
              <w:t>5</w:t>
            </w:r>
            <w:r w:rsidR="006561FD">
              <w:rPr>
                <w:rFonts w:eastAsia="Times New Roman" w:cs="Times New Roman"/>
                <w:color w:val="000000"/>
                <w:szCs w:val="24"/>
              </w:rPr>
              <w:t>3</w:t>
            </w:r>
          </w:p>
        </w:tc>
        <w:tc>
          <w:tcPr>
            <w:tcW w:w="1196" w:type="dxa"/>
            <w:shd w:val="clear" w:color="auto" w:fill="auto"/>
            <w:noWrap/>
            <w:vAlign w:val="center"/>
          </w:tcPr>
          <w:p w14:paraId="769D4BFE" w14:textId="297E6E2E"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-19.458</w:t>
            </w:r>
          </w:p>
        </w:tc>
      </w:tr>
      <w:tr w:rsidR="005227E5" w:rsidRPr="00B31CDB" w14:paraId="47E4414D" w14:textId="77777777" w:rsidTr="00201791">
        <w:trPr>
          <w:trHeight w:val="302"/>
        </w:trPr>
        <w:tc>
          <w:tcPr>
            <w:tcW w:w="3955" w:type="dxa"/>
            <w:tcBorders>
              <w:bottom w:val="single" w:sz="4" w:space="0" w:color="auto"/>
            </w:tcBorders>
            <w:shd w:val="clear" w:color="auto" w:fill="auto"/>
            <w:noWrap/>
            <w:vAlign w:val="bottom"/>
            <w:hideMark/>
          </w:tcPr>
          <w:p w14:paraId="76D21785" w14:textId="77777777" w:rsidR="005227E5"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Covid case, 2 weeks lag, </w:t>
            </w:r>
          </w:p>
          <w:p w14:paraId="5136206A" w14:textId="20711274"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during 2nd wave of pandemic</w:t>
            </w:r>
          </w:p>
        </w:tc>
        <w:tc>
          <w:tcPr>
            <w:tcW w:w="1280" w:type="dxa"/>
            <w:shd w:val="clear" w:color="auto" w:fill="auto"/>
            <w:noWrap/>
            <w:vAlign w:val="center"/>
            <w:hideMark/>
          </w:tcPr>
          <w:p w14:paraId="24865B86"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0" w:type="dxa"/>
            <w:shd w:val="clear" w:color="auto" w:fill="auto"/>
            <w:noWrap/>
            <w:vAlign w:val="center"/>
            <w:hideMark/>
          </w:tcPr>
          <w:p w14:paraId="5171F56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4" w:type="dxa"/>
            <w:shd w:val="clear" w:color="auto" w:fill="auto"/>
            <w:noWrap/>
            <w:vAlign w:val="center"/>
            <w:hideMark/>
          </w:tcPr>
          <w:p w14:paraId="1BE136F5" w14:textId="5C300C1D" w:rsidR="005227E5" w:rsidRPr="00B31CDB" w:rsidRDefault="005227E5" w:rsidP="00EB5197">
            <w:pPr>
              <w:jc w:val="left"/>
              <w:rPr>
                <w:rFonts w:eastAsia="Times New Roman" w:cs="Times New Roman"/>
                <w:color w:val="000000"/>
                <w:szCs w:val="24"/>
              </w:rPr>
            </w:pPr>
            <w:r>
              <w:rPr>
                <w:rFonts w:eastAsia="Times New Roman" w:cs="Times New Roman"/>
                <w:color w:val="000000"/>
                <w:szCs w:val="24"/>
              </w:rPr>
              <w:t>-0.29</w:t>
            </w:r>
            <w:r w:rsidR="006561FD">
              <w:rPr>
                <w:rFonts w:eastAsia="Times New Roman" w:cs="Times New Roman"/>
                <w:color w:val="000000"/>
                <w:szCs w:val="24"/>
              </w:rPr>
              <w:t>7</w:t>
            </w:r>
          </w:p>
        </w:tc>
        <w:tc>
          <w:tcPr>
            <w:tcW w:w="1196" w:type="dxa"/>
            <w:shd w:val="clear" w:color="auto" w:fill="auto"/>
            <w:noWrap/>
            <w:vAlign w:val="center"/>
            <w:hideMark/>
          </w:tcPr>
          <w:p w14:paraId="2A061F1C" w14:textId="7950792A" w:rsidR="005227E5" w:rsidRPr="00B31CDB" w:rsidRDefault="005227E5" w:rsidP="00EB5197">
            <w:pPr>
              <w:jc w:val="left"/>
              <w:rPr>
                <w:rFonts w:eastAsia="Times New Roman" w:cs="Times New Roman"/>
                <w:color w:val="000000"/>
                <w:szCs w:val="24"/>
              </w:rPr>
            </w:pPr>
            <w:r>
              <w:rPr>
                <w:rFonts w:eastAsia="Times New Roman" w:cs="Times New Roman"/>
                <w:color w:val="000000"/>
                <w:szCs w:val="24"/>
              </w:rPr>
              <w:t>-</w:t>
            </w:r>
            <w:r w:rsidRPr="00B31CDB">
              <w:rPr>
                <w:rFonts w:eastAsia="Times New Roman" w:cs="Times New Roman"/>
                <w:color w:val="000000"/>
                <w:szCs w:val="24"/>
              </w:rPr>
              <w:t>18.106</w:t>
            </w:r>
          </w:p>
        </w:tc>
      </w:tr>
      <w:tr w:rsidR="005227E5" w:rsidRPr="00B31CDB" w14:paraId="0A08ECE2" w14:textId="77777777" w:rsidTr="00201791">
        <w:trPr>
          <w:trHeight w:val="302"/>
        </w:trPr>
        <w:tc>
          <w:tcPr>
            <w:tcW w:w="3955" w:type="dxa"/>
            <w:tcBorders>
              <w:top w:val="single" w:sz="4" w:space="0" w:color="auto"/>
              <w:bottom w:val="double" w:sz="4" w:space="0" w:color="auto"/>
            </w:tcBorders>
            <w:shd w:val="clear" w:color="auto" w:fill="auto"/>
            <w:noWrap/>
            <w:vAlign w:val="bottom"/>
          </w:tcPr>
          <w:p w14:paraId="2FB48A06" w14:textId="77777777" w:rsidR="005227E5"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Covid case, 2 weeks lag, </w:t>
            </w:r>
          </w:p>
          <w:p w14:paraId="3D6EC24D" w14:textId="3B142A39"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during </w:t>
            </w:r>
            <w:r>
              <w:rPr>
                <w:rFonts w:eastAsia="Times New Roman" w:cs="Times New Roman"/>
                <w:color w:val="000000"/>
                <w:szCs w:val="24"/>
              </w:rPr>
              <w:t>vaccination phase</w:t>
            </w:r>
          </w:p>
        </w:tc>
        <w:tc>
          <w:tcPr>
            <w:tcW w:w="1280" w:type="dxa"/>
            <w:tcBorders>
              <w:bottom w:val="single" w:sz="4" w:space="0" w:color="auto"/>
            </w:tcBorders>
            <w:shd w:val="clear" w:color="auto" w:fill="auto"/>
            <w:noWrap/>
            <w:vAlign w:val="center"/>
          </w:tcPr>
          <w:p w14:paraId="5D20DDE3" w14:textId="2D9C1216"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0" w:type="dxa"/>
            <w:tcBorders>
              <w:bottom w:val="single" w:sz="4" w:space="0" w:color="auto"/>
            </w:tcBorders>
            <w:shd w:val="clear" w:color="auto" w:fill="auto"/>
            <w:noWrap/>
            <w:vAlign w:val="center"/>
          </w:tcPr>
          <w:p w14:paraId="50ED261B" w14:textId="576E9B60"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4" w:type="dxa"/>
            <w:tcBorders>
              <w:bottom w:val="single" w:sz="4" w:space="0" w:color="auto"/>
            </w:tcBorders>
            <w:shd w:val="clear" w:color="auto" w:fill="auto"/>
            <w:noWrap/>
            <w:vAlign w:val="center"/>
          </w:tcPr>
          <w:p w14:paraId="34DBAF14" w14:textId="4E38F514" w:rsidR="005227E5" w:rsidRPr="00B31CDB" w:rsidRDefault="005227E5" w:rsidP="00EB5197">
            <w:pPr>
              <w:jc w:val="left"/>
              <w:rPr>
                <w:rFonts w:eastAsia="Times New Roman" w:cs="Times New Roman"/>
                <w:color w:val="000000"/>
                <w:szCs w:val="24"/>
              </w:rPr>
            </w:pPr>
            <w:r>
              <w:rPr>
                <w:rFonts w:eastAsia="Times New Roman" w:cs="Times New Roman"/>
                <w:color w:val="000000"/>
                <w:szCs w:val="24"/>
              </w:rPr>
              <w:t>-0.0</w:t>
            </w:r>
            <w:r w:rsidR="006F7834">
              <w:rPr>
                <w:rFonts w:eastAsia="Times New Roman" w:cs="Times New Roman"/>
                <w:color w:val="000000"/>
                <w:szCs w:val="24"/>
              </w:rPr>
              <w:t>7</w:t>
            </w:r>
            <w:r w:rsidR="006561FD">
              <w:rPr>
                <w:rFonts w:eastAsia="Times New Roman" w:cs="Times New Roman"/>
                <w:color w:val="000000"/>
                <w:szCs w:val="24"/>
              </w:rPr>
              <w:t>1</w:t>
            </w:r>
          </w:p>
        </w:tc>
        <w:tc>
          <w:tcPr>
            <w:tcW w:w="1196" w:type="dxa"/>
            <w:tcBorders>
              <w:bottom w:val="single" w:sz="4" w:space="0" w:color="auto"/>
            </w:tcBorders>
            <w:shd w:val="clear" w:color="auto" w:fill="auto"/>
            <w:noWrap/>
            <w:vAlign w:val="center"/>
          </w:tcPr>
          <w:p w14:paraId="6AD860DD" w14:textId="173E7479" w:rsidR="005227E5" w:rsidRPr="00B31CDB" w:rsidRDefault="005227E5" w:rsidP="00EB5197">
            <w:pPr>
              <w:jc w:val="left"/>
              <w:rPr>
                <w:rFonts w:eastAsia="Times New Roman" w:cs="Times New Roman"/>
                <w:color w:val="000000"/>
                <w:szCs w:val="24"/>
              </w:rPr>
            </w:pPr>
            <w:r>
              <w:rPr>
                <w:rFonts w:eastAsia="Times New Roman" w:cs="Times New Roman"/>
                <w:color w:val="000000"/>
                <w:szCs w:val="24"/>
              </w:rPr>
              <w:t>-</w:t>
            </w:r>
            <w:r w:rsidRPr="00B31CDB">
              <w:rPr>
                <w:rFonts w:eastAsia="Times New Roman" w:cs="Times New Roman"/>
                <w:color w:val="000000"/>
                <w:szCs w:val="24"/>
              </w:rPr>
              <w:t>6.762</w:t>
            </w:r>
          </w:p>
        </w:tc>
      </w:tr>
      <w:tr w:rsidR="00201791" w:rsidRPr="00B31CDB" w14:paraId="6F74C50E" w14:textId="77777777" w:rsidTr="00201791">
        <w:trPr>
          <w:trHeight w:val="302"/>
        </w:trPr>
        <w:tc>
          <w:tcPr>
            <w:tcW w:w="8895" w:type="dxa"/>
            <w:gridSpan w:val="5"/>
            <w:tcBorders>
              <w:top w:val="double" w:sz="4" w:space="0" w:color="auto"/>
              <w:bottom w:val="double" w:sz="4" w:space="0" w:color="auto"/>
            </w:tcBorders>
            <w:shd w:val="clear" w:color="auto" w:fill="auto"/>
            <w:noWrap/>
            <w:vAlign w:val="bottom"/>
          </w:tcPr>
          <w:p w14:paraId="4FA7B26C" w14:textId="0BC1CA5E" w:rsidR="00201791" w:rsidRPr="00201791" w:rsidRDefault="00201791" w:rsidP="00EB5197">
            <w:pPr>
              <w:jc w:val="left"/>
              <w:rPr>
                <w:rFonts w:eastAsia="Times New Roman" w:cs="Times New Roman"/>
                <w:i/>
                <w:iCs/>
                <w:color w:val="000000"/>
                <w:szCs w:val="24"/>
              </w:rPr>
            </w:pPr>
            <w:r w:rsidRPr="00201791">
              <w:rPr>
                <w:rFonts w:eastAsia="Times New Roman" w:cs="Times New Roman"/>
                <w:i/>
                <w:iCs/>
                <w:color w:val="000000"/>
                <w:szCs w:val="24"/>
              </w:rPr>
              <w:t>Health Care Infrastructure Attributes</w:t>
            </w:r>
          </w:p>
        </w:tc>
      </w:tr>
      <w:tr w:rsidR="005227E5" w:rsidRPr="00B31CDB" w14:paraId="1655D2E1" w14:textId="77777777" w:rsidTr="00201791">
        <w:trPr>
          <w:trHeight w:val="302"/>
        </w:trPr>
        <w:tc>
          <w:tcPr>
            <w:tcW w:w="3955" w:type="dxa"/>
            <w:tcBorders>
              <w:top w:val="double" w:sz="4" w:space="0" w:color="auto"/>
              <w:bottom w:val="double" w:sz="4" w:space="0" w:color="auto"/>
            </w:tcBorders>
            <w:shd w:val="clear" w:color="auto" w:fill="auto"/>
            <w:noWrap/>
            <w:vAlign w:val="bottom"/>
            <w:hideMark/>
          </w:tcPr>
          <w:p w14:paraId="0BCA7106"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Testing rate, 5 days lag</w:t>
            </w:r>
          </w:p>
        </w:tc>
        <w:tc>
          <w:tcPr>
            <w:tcW w:w="1280" w:type="dxa"/>
            <w:tcBorders>
              <w:top w:val="double" w:sz="4" w:space="0" w:color="auto"/>
              <w:bottom w:val="double" w:sz="4" w:space="0" w:color="auto"/>
            </w:tcBorders>
            <w:shd w:val="clear" w:color="auto" w:fill="auto"/>
            <w:noWrap/>
            <w:vAlign w:val="center"/>
            <w:hideMark/>
          </w:tcPr>
          <w:p w14:paraId="705EB4B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0.028</w:t>
            </w:r>
          </w:p>
        </w:tc>
        <w:tc>
          <w:tcPr>
            <w:tcW w:w="1230" w:type="dxa"/>
            <w:tcBorders>
              <w:top w:val="double" w:sz="4" w:space="0" w:color="auto"/>
              <w:bottom w:val="double" w:sz="4" w:space="0" w:color="auto"/>
            </w:tcBorders>
            <w:shd w:val="clear" w:color="auto" w:fill="auto"/>
            <w:noWrap/>
            <w:vAlign w:val="center"/>
            <w:hideMark/>
          </w:tcPr>
          <w:p w14:paraId="7C48B463" w14:textId="205D0CA6"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12.23</w:t>
            </w:r>
            <w:r>
              <w:rPr>
                <w:rFonts w:eastAsia="Times New Roman" w:cs="Times New Roman"/>
                <w:color w:val="000000"/>
                <w:szCs w:val="24"/>
              </w:rPr>
              <w:t>0</w:t>
            </w:r>
          </w:p>
        </w:tc>
        <w:tc>
          <w:tcPr>
            <w:tcW w:w="1234" w:type="dxa"/>
            <w:tcBorders>
              <w:top w:val="double" w:sz="4" w:space="0" w:color="auto"/>
              <w:bottom w:val="double" w:sz="4" w:space="0" w:color="auto"/>
            </w:tcBorders>
            <w:shd w:val="clear" w:color="auto" w:fill="auto"/>
            <w:noWrap/>
            <w:vAlign w:val="center"/>
            <w:hideMark/>
          </w:tcPr>
          <w:p w14:paraId="0C3D326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tcBorders>
              <w:top w:val="double" w:sz="4" w:space="0" w:color="auto"/>
              <w:bottom w:val="double" w:sz="4" w:space="0" w:color="auto"/>
            </w:tcBorders>
            <w:shd w:val="clear" w:color="auto" w:fill="auto"/>
            <w:noWrap/>
            <w:vAlign w:val="center"/>
            <w:hideMark/>
          </w:tcPr>
          <w:p w14:paraId="22C262D2"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0B2C5D4F" w14:textId="77777777" w:rsidTr="0079076F">
        <w:trPr>
          <w:trHeight w:val="302"/>
        </w:trPr>
        <w:tc>
          <w:tcPr>
            <w:tcW w:w="8895" w:type="dxa"/>
            <w:gridSpan w:val="5"/>
            <w:tcBorders>
              <w:top w:val="double" w:sz="4" w:space="0" w:color="auto"/>
              <w:bottom w:val="double" w:sz="4" w:space="0" w:color="auto"/>
            </w:tcBorders>
            <w:shd w:val="clear" w:color="auto" w:fill="auto"/>
            <w:noWrap/>
            <w:vAlign w:val="bottom"/>
            <w:hideMark/>
          </w:tcPr>
          <w:p w14:paraId="352297F5" w14:textId="1E43FAD3" w:rsidR="005227E5" w:rsidRPr="0079076F" w:rsidRDefault="005227E5" w:rsidP="00EB5197">
            <w:pPr>
              <w:jc w:val="left"/>
              <w:rPr>
                <w:rFonts w:eastAsia="Times New Roman" w:cs="Times New Roman"/>
                <w:i/>
                <w:iCs/>
                <w:szCs w:val="24"/>
              </w:rPr>
            </w:pPr>
            <w:r w:rsidRPr="0079076F">
              <w:rPr>
                <w:rFonts w:eastAsia="Times New Roman" w:cs="Times New Roman"/>
                <w:i/>
                <w:iCs/>
                <w:color w:val="000000"/>
                <w:szCs w:val="24"/>
              </w:rPr>
              <w:t>Demographics</w:t>
            </w:r>
          </w:p>
        </w:tc>
      </w:tr>
      <w:tr w:rsidR="005227E5" w:rsidRPr="00B31CDB" w14:paraId="3C477260" w14:textId="77777777" w:rsidTr="0079076F">
        <w:trPr>
          <w:trHeight w:val="302"/>
        </w:trPr>
        <w:tc>
          <w:tcPr>
            <w:tcW w:w="3955" w:type="dxa"/>
            <w:tcBorders>
              <w:top w:val="double" w:sz="4" w:space="0" w:color="auto"/>
            </w:tcBorders>
            <w:shd w:val="clear" w:color="auto" w:fill="auto"/>
            <w:noWrap/>
            <w:vAlign w:val="bottom"/>
            <w:hideMark/>
          </w:tcPr>
          <w:p w14:paraId="4004683B"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Young people</w:t>
            </w:r>
          </w:p>
        </w:tc>
        <w:tc>
          <w:tcPr>
            <w:tcW w:w="1280" w:type="dxa"/>
            <w:tcBorders>
              <w:top w:val="double" w:sz="4" w:space="0" w:color="auto"/>
            </w:tcBorders>
            <w:shd w:val="clear" w:color="auto" w:fill="auto"/>
            <w:noWrap/>
            <w:vAlign w:val="center"/>
            <w:hideMark/>
          </w:tcPr>
          <w:p w14:paraId="041F72AF"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0.022</w:t>
            </w:r>
          </w:p>
        </w:tc>
        <w:tc>
          <w:tcPr>
            <w:tcW w:w="1230" w:type="dxa"/>
            <w:tcBorders>
              <w:top w:val="double" w:sz="4" w:space="0" w:color="auto"/>
            </w:tcBorders>
            <w:shd w:val="clear" w:color="auto" w:fill="auto"/>
            <w:noWrap/>
            <w:vAlign w:val="center"/>
            <w:hideMark/>
          </w:tcPr>
          <w:p w14:paraId="457F4F7B"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14.388</w:t>
            </w:r>
          </w:p>
        </w:tc>
        <w:tc>
          <w:tcPr>
            <w:tcW w:w="1234" w:type="dxa"/>
            <w:tcBorders>
              <w:top w:val="double" w:sz="4" w:space="0" w:color="auto"/>
            </w:tcBorders>
            <w:shd w:val="clear" w:color="auto" w:fill="auto"/>
            <w:noWrap/>
            <w:vAlign w:val="center"/>
            <w:hideMark/>
          </w:tcPr>
          <w:p w14:paraId="40190C7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0.026</w:t>
            </w:r>
          </w:p>
        </w:tc>
        <w:tc>
          <w:tcPr>
            <w:tcW w:w="1196" w:type="dxa"/>
            <w:tcBorders>
              <w:top w:val="double" w:sz="4" w:space="0" w:color="auto"/>
            </w:tcBorders>
            <w:shd w:val="clear" w:color="auto" w:fill="auto"/>
            <w:noWrap/>
            <w:vAlign w:val="center"/>
            <w:hideMark/>
          </w:tcPr>
          <w:p w14:paraId="1BFFB820"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53.622</w:t>
            </w:r>
          </w:p>
        </w:tc>
      </w:tr>
      <w:tr w:rsidR="005227E5" w:rsidRPr="00B31CDB" w14:paraId="7F95C1E0" w14:textId="77777777" w:rsidTr="0079076F">
        <w:trPr>
          <w:trHeight w:val="302"/>
        </w:trPr>
        <w:tc>
          <w:tcPr>
            <w:tcW w:w="3955" w:type="dxa"/>
            <w:shd w:val="clear" w:color="auto" w:fill="auto"/>
            <w:noWrap/>
            <w:vAlign w:val="bottom"/>
            <w:hideMark/>
          </w:tcPr>
          <w:p w14:paraId="1BFBA30C"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Senior people</w:t>
            </w:r>
          </w:p>
        </w:tc>
        <w:tc>
          <w:tcPr>
            <w:tcW w:w="1280" w:type="dxa"/>
            <w:shd w:val="clear" w:color="auto" w:fill="auto"/>
            <w:noWrap/>
            <w:vAlign w:val="center"/>
            <w:hideMark/>
          </w:tcPr>
          <w:p w14:paraId="1FAAB27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-0.005</w:t>
            </w:r>
          </w:p>
        </w:tc>
        <w:tc>
          <w:tcPr>
            <w:tcW w:w="1230" w:type="dxa"/>
            <w:shd w:val="clear" w:color="auto" w:fill="auto"/>
            <w:noWrap/>
            <w:vAlign w:val="center"/>
            <w:hideMark/>
          </w:tcPr>
          <w:p w14:paraId="728E48E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-4.951</w:t>
            </w:r>
          </w:p>
        </w:tc>
        <w:tc>
          <w:tcPr>
            <w:tcW w:w="1234" w:type="dxa"/>
            <w:shd w:val="clear" w:color="auto" w:fill="auto"/>
            <w:noWrap/>
            <w:vAlign w:val="center"/>
            <w:hideMark/>
          </w:tcPr>
          <w:p w14:paraId="57901B3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-0.01</w:t>
            </w:r>
          </w:p>
        </w:tc>
        <w:tc>
          <w:tcPr>
            <w:tcW w:w="1196" w:type="dxa"/>
            <w:shd w:val="clear" w:color="auto" w:fill="auto"/>
            <w:noWrap/>
            <w:vAlign w:val="center"/>
            <w:hideMark/>
          </w:tcPr>
          <w:p w14:paraId="4E71D21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-29.526</w:t>
            </w:r>
          </w:p>
        </w:tc>
      </w:tr>
      <w:tr w:rsidR="005227E5" w:rsidRPr="00B31CDB" w14:paraId="5E53C48B" w14:textId="77777777" w:rsidTr="0079076F">
        <w:trPr>
          <w:trHeight w:val="302"/>
        </w:trPr>
        <w:tc>
          <w:tcPr>
            <w:tcW w:w="3955" w:type="dxa"/>
            <w:shd w:val="clear" w:color="auto" w:fill="auto"/>
            <w:noWrap/>
            <w:vAlign w:val="bottom"/>
            <w:hideMark/>
          </w:tcPr>
          <w:p w14:paraId="2F3BA27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African American people</w:t>
            </w:r>
          </w:p>
        </w:tc>
        <w:tc>
          <w:tcPr>
            <w:tcW w:w="1280" w:type="dxa"/>
            <w:shd w:val="clear" w:color="auto" w:fill="auto"/>
            <w:noWrap/>
            <w:vAlign w:val="center"/>
            <w:hideMark/>
          </w:tcPr>
          <w:p w14:paraId="1DD38A77"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0.005</w:t>
            </w:r>
          </w:p>
        </w:tc>
        <w:tc>
          <w:tcPr>
            <w:tcW w:w="1230" w:type="dxa"/>
            <w:shd w:val="clear" w:color="auto" w:fill="auto"/>
            <w:noWrap/>
            <w:vAlign w:val="center"/>
            <w:hideMark/>
          </w:tcPr>
          <w:p w14:paraId="5773C0A9"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14.692</w:t>
            </w:r>
          </w:p>
        </w:tc>
        <w:tc>
          <w:tcPr>
            <w:tcW w:w="1234" w:type="dxa"/>
            <w:shd w:val="clear" w:color="auto" w:fill="auto"/>
            <w:noWrap/>
            <w:vAlign w:val="center"/>
            <w:hideMark/>
          </w:tcPr>
          <w:p w14:paraId="0EB2ED89"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-0.004</w:t>
            </w:r>
          </w:p>
        </w:tc>
        <w:tc>
          <w:tcPr>
            <w:tcW w:w="1196" w:type="dxa"/>
            <w:shd w:val="clear" w:color="auto" w:fill="auto"/>
            <w:noWrap/>
            <w:vAlign w:val="center"/>
            <w:hideMark/>
          </w:tcPr>
          <w:p w14:paraId="014F67F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-41.802</w:t>
            </w:r>
          </w:p>
        </w:tc>
      </w:tr>
      <w:tr w:rsidR="005227E5" w:rsidRPr="00B31CDB" w14:paraId="3A32A58C" w14:textId="77777777" w:rsidTr="0079076F">
        <w:trPr>
          <w:trHeight w:val="302"/>
        </w:trPr>
        <w:tc>
          <w:tcPr>
            <w:tcW w:w="3955" w:type="dxa"/>
            <w:shd w:val="clear" w:color="auto" w:fill="auto"/>
            <w:noWrap/>
            <w:vAlign w:val="bottom"/>
            <w:hideMark/>
          </w:tcPr>
          <w:p w14:paraId="4EA7FE9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Hispanic people</w:t>
            </w:r>
          </w:p>
        </w:tc>
        <w:tc>
          <w:tcPr>
            <w:tcW w:w="1280" w:type="dxa"/>
            <w:shd w:val="clear" w:color="auto" w:fill="auto"/>
            <w:noWrap/>
            <w:vAlign w:val="center"/>
            <w:hideMark/>
          </w:tcPr>
          <w:p w14:paraId="1DDE89A0"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0.001</w:t>
            </w:r>
          </w:p>
        </w:tc>
        <w:tc>
          <w:tcPr>
            <w:tcW w:w="1230" w:type="dxa"/>
            <w:shd w:val="clear" w:color="auto" w:fill="auto"/>
            <w:noWrap/>
            <w:vAlign w:val="center"/>
            <w:hideMark/>
          </w:tcPr>
          <w:p w14:paraId="7D527D63"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3.819</w:t>
            </w:r>
          </w:p>
        </w:tc>
        <w:tc>
          <w:tcPr>
            <w:tcW w:w="1234" w:type="dxa"/>
            <w:shd w:val="clear" w:color="auto" w:fill="auto"/>
            <w:noWrap/>
            <w:vAlign w:val="center"/>
            <w:hideMark/>
          </w:tcPr>
          <w:p w14:paraId="60A13CF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-0.002</w:t>
            </w:r>
          </w:p>
        </w:tc>
        <w:tc>
          <w:tcPr>
            <w:tcW w:w="1196" w:type="dxa"/>
            <w:shd w:val="clear" w:color="auto" w:fill="auto"/>
            <w:noWrap/>
            <w:vAlign w:val="center"/>
            <w:hideMark/>
          </w:tcPr>
          <w:p w14:paraId="24ADCA32"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-22.538</w:t>
            </w:r>
          </w:p>
        </w:tc>
      </w:tr>
      <w:tr w:rsidR="005227E5" w:rsidRPr="00B31CDB" w14:paraId="3F51D7EB" w14:textId="77777777" w:rsidTr="0079076F">
        <w:trPr>
          <w:trHeight w:val="302"/>
        </w:trPr>
        <w:tc>
          <w:tcPr>
            <w:tcW w:w="3955" w:type="dxa"/>
            <w:shd w:val="clear" w:color="auto" w:fill="auto"/>
            <w:noWrap/>
            <w:vAlign w:val="bottom"/>
            <w:hideMark/>
          </w:tcPr>
          <w:p w14:paraId="4405CD57"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 Female </w:t>
            </w:r>
          </w:p>
        </w:tc>
        <w:tc>
          <w:tcPr>
            <w:tcW w:w="1280" w:type="dxa"/>
            <w:shd w:val="clear" w:color="auto" w:fill="auto"/>
            <w:noWrap/>
            <w:vAlign w:val="center"/>
            <w:hideMark/>
          </w:tcPr>
          <w:p w14:paraId="2DA36882"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0.009</w:t>
            </w:r>
          </w:p>
        </w:tc>
        <w:tc>
          <w:tcPr>
            <w:tcW w:w="1230" w:type="dxa"/>
            <w:shd w:val="clear" w:color="auto" w:fill="auto"/>
            <w:noWrap/>
            <w:vAlign w:val="center"/>
            <w:hideMark/>
          </w:tcPr>
          <w:p w14:paraId="70ED1E43"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4.324</w:t>
            </w:r>
          </w:p>
        </w:tc>
        <w:tc>
          <w:tcPr>
            <w:tcW w:w="1234" w:type="dxa"/>
            <w:shd w:val="clear" w:color="auto" w:fill="auto"/>
            <w:noWrap/>
            <w:vAlign w:val="center"/>
            <w:hideMark/>
          </w:tcPr>
          <w:p w14:paraId="53AEE4C7"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shd w:val="clear" w:color="auto" w:fill="auto"/>
            <w:noWrap/>
            <w:vAlign w:val="center"/>
            <w:hideMark/>
          </w:tcPr>
          <w:p w14:paraId="778B8A9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554B453E" w14:textId="77777777" w:rsidTr="0079076F">
        <w:trPr>
          <w:trHeight w:val="302"/>
        </w:trPr>
        <w:tc>
          <w:tcPr>
            <w:tcW w:w="3955" w:type="dxa"/>
            <w:tcBorders>
              <w:bottom w:val="double" w:sz="4" w:space="0" w:color="auto"/>
            </w:tcBorders>
            <w:shd w:val="clear" w:color="auto" w:fill="auto"/>
            <w:noWrap/>
            <w:vAlign w:val="bottom"/>
            <w:hideMark/>
          </w:tcPr>
          <w:p w14:paraId="41D52A69" w14:textId="0360EAC1"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Employment rate per 100K </w:t>
            </w:r>
            <w:r w:rsidR="00880A20">
              <w:rPr>
                <w:rFonts w:eastAsia="Times New Roman" w:cs="Times New Roman"/>
                <w:color w:val="000000"/>
                <w:szCs w:val="24"/>
              </w:rPr>
              <w:t>population</w:t>
            </w:r>
          </w:p>
        </w:tc>
        <w:tc>
          <w:tcPr>
            <w:tcW w:w="1280" w:type="dxa"/>
            <w:tcBorders>
              <w:bottom w:val="double" w:sz="4" w:space="0" w:color="auto"/>
            </w:tcBorders>
            <w:shd w:val="clear" w:color="auto" w:fill="auto"/>
            <w:noWrap/>
            <w:vAlign w:val="center"/>
            <w:hideMark/>
          </w:tcPr>
          <w:p w14:paraId="29C8E86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0" w:type="dxa"/>
            <w:tcBorders>
              <w:bottom w:val="double" w:sz="4" w:space="0" w:color="auto"/>
            </w:tcBorders>
            <w:shd w:val="clear" w:color="auto" w:fill="auto"/>
            <w:noWrap/>
            <w:vAlign w:val="center"/>
            <w:hideMark/>
          </w:tcPr>
          <w:p w14:paraId="1B8833E6"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234" w:type="dxa"/>
            <w:tcBorders>
              <w:bottom w:val="double" w:sz="4" w:space="0" w:color="auto"/>
            </w:tcBorders>
            <w:shd w:val="clear" w:color="auto" w:fill="auto"/>
            <w:noWrap/>
            <w:vAlign w:val="center"/>
            <w:hideMark/>
          </w:tcPr>
          <w:p w14:paraId="533BC3C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0.103</w:t>
            </w:r>
          </w:p>
        </w:tc>
        <w:tc>
          <w:tcPr>
            <w:tcW w:w="1196" w:type="dxa"/>
            <w:tcBorders>
              <w:bottom w:val="double" w:sz="4" w:space="0" w:color="auto"/>
            </w:tcBorders>
            <w:shd w:val="clear" w:color="auto" w:fill="auto"/>
            <w:noWrap/>
            <w:vAlign w:val="center"/>
            <w:hideMark/>
          </w:tcPr>
          <w:p w14:paraId="36D2EFE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115.674</w:t>
            </w:r>
          </w:p>
        </w:tc>
      </w:tr>
      <w:tr w:rsidR="005227E5" w:rsidRPr="00B31CDB" w14:paraId="0F95398B" w14:textId="77777777" w:rsidTr="0079076F">
        <w:trPr>
          <w:trHeight w:val="302"/>
        </w:trPr>
        <w:tc>
          <w:tcPr>
            <w:tcW w:w="8895" w:type="dxa"/>
            <w:gridSpan w:val="5"/>
            <w:tcBorders>
              <w:top w:val="double" w:sz="4" w:space="0" w:color="auto"/>
              <w:bottom w:val="double" w:sz="4" w:space="0" w:color="auto"/>
            </w:tcBorders>
            <w:shd w:val="clear" w:color="auto" w:fill="auto"/>
            <w:noWrap/>
            <w:vAlign w:val="bottom"/>
            <w:hideMark/>
          </w:tcPr>
          <w:p w14:paraId="634956D6" w14:textId="5E875715" w:rsidR="005227E5" w:rsidRPr="00C87B8B" w:rsidRDefault="005227E5" w:rsidP="00EB5197">
            <w:pPr>
              <w:jc w:val="left"/>
              <w:rPr>
                <w:rFonts w:eastAsia="Times New Roman" w:cs="Times New Roman"/>
                <w:i/>
                <w:iCs/>
                <w:szCs w:val="24"/>
              </w:rPr>
            </w:pPr>
            <w:r w:rsidRPr="00C87B8B">
              <w:rPr>
                <w:rFonts w:eastAsia="Times New Roman" w:cs="Times New Roman"/>
                <w:i/>
                <w:iCs/>
                <w:color w:val="000000"/>
                <w:szCs w:val="24"/>
              </w:rPr>
              <w:t>Health Indicators</w:t>
            </w:r>
          </w:p>
        </w:tc>
      </w:tr>
      <w:tr w:rsidR="005227E5" w:rsidRPr="00B31CDB" w14:paraId="2872A91A" w14:textId="77777777" w:rsidTr="0079076F">
        <w:trPr>
          <w:trHeight w:val="302"/>
        </w:trPr>
        <w:tc>
          <w:tcPr>
            <w:tcW w:w="3955" w:type="dxa"/>
            <w:tcBorders>
              <w:top w:val="double" w:sz="4" w:space="0" w:color="auto"/>
            </w:tcBorders>
            <w:shd w:val="clear" w:color="auto" w:fill="auto"/>
            <w:noWrap/>
            <w:vAlign w:val="bottom"/>
            <w:hideMark/>
          </w:tcPr>
          <w:p w14:paraId="6ACD4F4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No. HIV patients</w:t>
            </w:r>
          </w:p>
        </w:tc>
        <w:tc>
          <w:tcPr>
            <w:tcW w:w="1280" w:type="dxa"/>
            <w:tcBorders>
              <w:top w:val="double" w:sz="4" w:space="0" w:color="auto"/>
            </w:tcBorders>
            <w:shd w:val="clear" w:color="auto" w:fill="auto"/>
            <w:noWrap/>
            <w:vAlign w:val="center"/>
            <w:hideMark/>
          </w:tcPr>
          <w:p w14:paraId="61664E92"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0.064</w:t>
            </w:r>
          </w:p>
        </w:tc>
        <w:tc>
          <w:tcPr>
            <w:tcW w:w="1230" w:type="dxa"/>
            <w:tcBorders>
              <w:top w:val="double" w:sz="4" w:space="0" w:color="auto"/>
            </w:tcBorders>
            <w:shd w:val="clear" w:color="auto" w:fill="auto"/>
            <w:noWrap/>
            <w:vAlign w:val="center"/>
            <w:hideMark/>
          </w:tcPr>
          <w:p w14:paraId="2CE12ED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12.077</w:t>
            </w:r>
          </w:p>
        </w:tc>
        <w:tc>
          <w:tcPr>
            <w:tcW w:w="1234" w:type="dxa"/>
            <w:tcBorders>
              <w:top w:val="double" w:sz="4" w:space="0" w:color="auto"/>
            </w:tcBorders>
            <w:shd w:val="clear" w:color="auto" w:fill="auto"/>
            <w:noWrap/>
            <w:vAlign w:val="center"/>
            <w:hideMark/>
          </w:tcPr>
          <w:p w14:paraId="55CF25A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tcBorders>
              <w:top w:val="double" w:sz="4" w:space="0" w:color="auto"/>
            </w:tcBorders>
            <w:shd w:val="clear" w:color="auto" w:fill="auto"/>
            <w:noWrap/>
            <w:vAlign w:val="center"/>
            <w:hideMark/>
          </w:tcPr>
          <w:p w14:paraId="06E55EC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2B2A1298" w14:textId="77777777" w:rsidTr="0079076F">
        <w:trPr>
          <w:trHeight w:val="302"/>
        </w:trPr>
        <w:tc>
          <w:tcPr>
            <w:tcW w:w="3955" w:type="dxa"/>
            <w:tcBorders>
              <w:bottom w:val="double" w:sz="4" w:space="0" w:color="auto"/>
            </w:tcBorders>
            <w:shd w:val="clear" w:color="auto" w:fill="auto"/>
            <w:noWrap/>
            <w:vAlign w:val="bottom"/>
            <w:hideMark/>
          </w:tcPr>
          <w:p w14:paraId="51CE20F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No. Hepatitis C patients</w:t>
            </w:r>
          </w:p>
        </w:tc>
        <w:tc>
          <w:tcPr>
            <w:tcW w:w="1280" w:type="dxa"/>
            <w:tcBorders>
              <w:bottom w:val="double" w:sz="4" w:space="0" w:color="auto"/>
            </w:tcBorders>
            <w:shd w:val="clear" w:color="auto" w:fill="auto"/>
            <w:noWrap/>
            <w:vAlign w:val="center"/>
            <w:hideMark/>
          </w:tcPr>
          <w:p w14:paraId="6BD45BE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0.012</w:t>
            </w:r>
          </w:p>
        </w:tc>
        <w:tc>
          <w:tcPr>
            <w:tcW w:w="1230" w:type="dxa"/>
            <w:tcBorders>
              <w:bottom w:val="double" w:sz="4" w:space="0" w:color="auto"/>
            </w:tcBorders>
            <w:shd w:val="clear" w:color="auto" w:fill="auto"/>
            <w:noWrap/>
            <w:vAlign w:val="center"/>
            <w:hideMark/>
          </w:tcPr>
          <w:p w14:paraId="4CD5BC00"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6.237</w:t>
            </w:r>
          </w:p>
        </w:tc>
        <w:tc>
          <w:tcPr>
            <w:tcW w:w="1234" w:type="dxa"/>
            <w:tcBorders>
              <w:bottom w:val="double" w:sz="4" w:space="0" w:color="auto"/>
            </w:tcBorders>
            <w:shd w:val="clear" w:color="auto" w:fill="auto"/>
            <w:noWrap/>
            <w:vAlign w:val="center"/>
            <w:hideMark/>
          </w:tcPr>
          <w:p w14:paraId="3E9A302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tcBorders>
              <w:bottom w:val="double" w:sz="4" w:space="0" w:color="auto"/>
            </w:tcBorders>
            <w:shd w:val="clear" w:color="auto" w:fill="auto"/>
            <w:noWrap/>
            <w:vAlign w:val="center"/>
            <w:hideMark/>
          </w:tcPr>
          <w:p w14:paraId="3C3728E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2FBCD8BE" w14:textId="77777777" w:rsidTr="0079076F">
        <w:trPr>
          <w:trHeight w:val="302"/>
        </w:trPr>
        <w:tc>
          <w:tcPr>
            <w:tcW w:w="8895" w:type="dxa"/>
            <w:gridSpan w:val="5"/>
            <w:tcBorders>
              <w:top w:val="double" w:sz="4" w:space="0" w:color="auto"/>
              <w:bottom w:val="double" w:sz="4" w:space="0" w:color="auto"/>
            </w:tcBorders>
            <w:shd w:val="clear" w:color="auto" w:fill="auto"/>
            <w:noWrap/>
            <w:vAlign w:val="bottom"/>
            <w:hideMark/>
          </w:tcPr>
          <w:p w14:paraId="5F35D86E" w14:textId="57937996" w:rsidR="005227E5" w:rsidRPr="00C87B8B" w:rsidRDefault="005227E5" w:rsidP="00EB5197">
            <w:pPr>
              <w:jc w:val="left"/>
              <w:rPr>
                <w:rFonts w:eastAsia="Times New Roman" w:cs="Times New Roman"/>
                <w:i/>
                <w:iCs/>
                <w:szCs w:val="24"/>
              </w:rPr>
            </w:pPr>
            <w:r w:rsidRPr="00C87B8B">
              <w:rPr>
                <w:rFonts w:eastAsia="Times New Roman" w:cs="Times New Roman"/>
                <w:i/>
                <w:iCs/>
                <w:color w:val="000000"/>
                <w:szCs w:val="24"/>
              </w:rPr>
              <w:t>Spatial Factors</w:t>
            </w:r>
          </w:p>
        </w:tc>
      </w:tr>
      <w:tr w:rsidR="005227E5" w:rsidRPr="00B31CDB" w14:paraId="391C9805" w14:textId="77777777" w:rsidTr="0079076F">
        <w:trPr>
          <w:trHeight w:val="302"/>
        </w:trPr>
        <w:tc>
          <w:tcPr>
            <w:tcW w:w="3955" w:type="dxa"/>
            <w:tcBorders>
              <w:top w:val="double" w:sz="4" w:space="0" w:color="auto"/>
            </w:tcBorders>
            <w:shd w:val="clear" w:color="auto" w:fill="auto"/>
            <w:noWrap/>
            <w:vAlign w:val="bottom"/>
            <w:hideMark/>
          </w:tcPr>
          <w:p w14:paraId="7AD3B042"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Bottom 10 tourist states</w:t>
            </w:r>
          </w:p>
        </w:tc>
        <w:tc>
          <w:tcPr>
            <w:tcW w:w="1280" w:type="dxa"/>
            <w:tcBorders>
              <w:top w:val="double" w:sz="4" w:space="0" w:color="auto"/>
            </w:tcBorders>
            <w:shd w:val="clear" w:color="auto" w:fill="auto"/>
            <w:noWrap/>
            <w:vAlign w:val="center"/>
            <w:hideMark/>
          </w:tcPr>
          <w:p w14:paraId="261DDFDF"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-0.183</w:t>
            </w:r>
          </w:p>
        </w:tc>
        <w:tc>
          <w:tcPr>
            <w:tcW w:w="1230" w:type="dxa"/>
            <w:tcBorders>
              <w:top w:val="double" w:sz="4" w:space="0" w:color="auto"/>
            </w:tcBorders>
            <w:shd w:val="clear" w:color="auto" w:fill="auto"/>
            <w:noWrap/>
            <w:vAlign w:val="center"/>
            <w:hideMark/>
          </w:tcPr>
          <w:p w14:paraId="6322264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-16.731</w:t>
            </w:r>
          </w:p>
        </w:tc>
        <w:tc>
          <w:tcPr>
            <w:tcW w:w="1234" w:type="dxa"/>
            <w:tcBorders>
              <w:top w:val="double" w:sz="4" w:space="0" w:color="auto"/>
            </w:tcBorders>
            <w:shd w:val="clear" w:color="auto" w:fill="auto"/>
            <w:noWrap/>
            <w:vAlign w:val="center"/>
            <w:hideMark/>
          </w:tcPr>
          <w:p w14:paraId="302381C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c>
          <w:tcPr>
            <w:tcW w:w="1196" w:type="dxa"/>
            <w:tcBorders>
              <w:top w:val="double" w:sz="4" w:space="0" w:color="auto"/>
            </w:tcBorders>
            <w:shd w:val="clear" w:color="auto" w:fill="auto"/>
            <w:noWrap/>
            <w:vAlign w:val="center"/>
            <w:hideMark/>
          </w:tcPr>
          <w:p w14:paraId="5D379A0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w:t>
            </w:r>
          </w:p>
        </w:tc>
      </w:tr>
      <w:tr w:rsidR="005227E5" w:rsidRPr="00B31CDB" w14:paraId="33BD0523" w14:textId="77777777" w:rsidTr="0079076F">
        <w:trPr>
          <w:trHeight w:val="302"/>
        </w:trPr>
        <w:tc>
          <w:tcPr>
            <w:tcW w:w="3955" w:type="dxa"/>
            <w:shd w:val="clear" w:color="auto" w:fill="auto"/>
            <w:noWrap/>
            <w:vAlign w:val="bottom"/>
            <w:hideMark/>
          </w:tcPr>
          <w:p w14:paraId="1900C85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South</w:t>
            </w:r>
          </w:p>
        </w:tc>
        <w:tc>
          <w:tcPr>
            <w:tcW w:w="1280" w:type="dxa"/>
            <w:shd w:val="clear" w:color="auto" w:fill="auto"/>
            <w:noWrap/>
            <w:vAlign w:val="center"/>
            <w:hideMark/>
          </w:tcPr>
          <w:p w14:paraId="4E137BB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0.021</w:t>
            </w:r>
          </w:p>
        </w:tc>
        <w:tc>
          <w:tcPr>
            <w:tcW w:w="1230" w:type="dxa"/>
            <w:shd w:val="clear" w:color="auto" w:fill="auto"/>
            <w:noWrap/>
            <w:vAlign w:val="center"/>
            <w:hideMark/>
          </w:tcPr>
          <w:p w14:paraId="5C7EE756"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1.983</w:t>
            </w:r>
          </w:p>
        </w:tc>
        <w:tc>
          <w:tcPr>
            <w:tcW w:w="1234" w:type="dxa"/>
            <w:shd w:val="clear" w:color="auto" w:fill="auto"/>
            <w:noWrap/>
            <w:vAlign w:val="center"/>
            <w:hideMark/>
          </w:tcPr>
          <w:p w14:paraId="0B7DBABE"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0.706</w:t>
            </w:r>
          </w:p>
        </w:tc>
        <w:tc>
          <w:tcPr>
            <w:tcW w:w="1196" w:type="dxa"/>
            <w:shd w:val="clear" w:color="auto" w:fill="auto"/>
            <w:noWrap/>
            <w:vAlign w:val="center"/>
            <w:hideMark/>
          </w:tcPr>
          <w:p w14:paraId="7171BF19"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231.408</w:t>
            </w:r>
          </w:p>
        </w:tc>
      </w:tr>
      <w:tr w:rsidR="005227E5" w:rsidRPr="00B31CDB" w14:paraId="71F0DB82" w14:textId="77777777" w:rsidTr="0079076F">
        <w:trPr>
          <w:trHeight w:val="302"/>
        </w:trPr>
        <w:tc>
          <w:tcPr>
            <w:tcW w:w="3955" w:type="dxa"/>
            <w:shd w:val="clear" w:color="auto" w:fill="auto"/>
            <w:noWrap/>
            <w:vAlign w:val="bottom"/>
            <w:hideMark/>
          </w:tcPr>
          <w:p w14:paraId="757AEEA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Mid-West</w:t>
            </w:r>
          </w:p>
        </w:tc>
        <w:tc>
          <w:tcPr>
            <w:tcW w:w="1280" w:type="dxa"/>
            <w:shd w:val="clear" w:color="auto" w:fill="auto"/>
            <w:noWrap/>
            <w:vAlign w:val="center"/>
            <w:hideMark/>
          </w:tcPr>
          <w:p w14:paraId="0822357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0.085</w:t>
            </w:r>
          </w:p>
        </w:tc>
        <w:tc>
          <w:tcPr>
            <w:tcW w:w="1230" w:type="dxa"/>
            <w:shd w:val="clear" w:color="auto" w:fill="auto"/>
            <w:noWrap/>
            <w:vAlign w:val="center"/>
            <w:hideMark/>
          </w:tcPr>
          <w:p w14:paraId="2369E415"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8.359</w:t>
            </w:r>
          </w:p>
        </w:tc>
        <w:tc>
          <w:tcPr>
            <w:tcW w:w="1234" w:type="dxa"/>
            <w:shd w:val="clear" w:color="auto" w:fill="auto"/>
            <w:noWrap/>
            <w:vAlign w:val="center"/>
            <w:hideMark/>
          </w:tcPr>
          <w:p w14:paraId="305FC8E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0.261</w:t>
            </w:r>
          </w:p>
        </w:tc>
        <w:tc>
          <w:tcPr>
            <w:tcW w:w="1196" w:type="dxa"/>
            <w:shd w:val="clear" w:color="auto" w:fill="auto"/>
            <w:noWrap/>
            <w:vAlign w:val="center"/>
            <w:hideMark/>
          </w:tcPr>
          <w:p w14:paraId="65AB2680"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82.541</w:t>
            </w:r>
          </w:p>
        </w:tc>
      </w:tr>
      <w:tr w:rsidR="005227E5" w:rsidRPr="00B31CDB" w14:paraId="39771C8D" w14:textId="77777777" w:rsidTr="0079076F">
        <w:trPr>
          <w:trHeight w:val="302"/>
        </w:trPr>
        <w:tc>
          <w:tcPr>
            <w:tcW w:w="3955" w:type="dxa"/>
            <w:tcBorders>
              <w:bottom w:val="double" w:sz="4" w:space="0" w:color="auto"/>
            </w:tcBorders>
            <w:shd w:val="clear" w:color="auto" w:fill="auto"/>
            <w:noWrap/>
            <w:vAlign w:val="bottom"/>
            <w:hideMark/>
          </w:tcPr>
          <w:p w14:paraId="4021F05B" w14:textId="381AAC61"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 xml:space="preserve">No. airport per 100K </w:t>
            </w:r>
            <w:r w:rsidR="00880A20">
              <w:rPr>
                <w:rFonts w:eastAsia="Times New Roman" w:cs="Times New Roman"/>
                <w:color w:val="000000"/>
                <w:szCs w:val="24"/>
              </w:rPr>
              <w:t>population</w:t>
            </w:r>
          </w:p>
        </w:tc>
        <w:tc>
          <w:tcPr>
            <w:tcW w:w="1280" w:type="dxa"/>
            <w:tcBorders>
              <w:bottom w:val="double" w:sz="4" w:space="0" w:color="auto"/>
            </w:tcBorders>
            <w:shd w:val="clear" w:color="auto" w:fill="auto"/>
            <w:noWrap/>
            <w:vAlign w:val="center"/>
            <w:hideMark/>
          </w:tcPr>
          <w:p w14:paraId="710E9CB6" w14:textId="4B91C1E5"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0.17</w:t>
            </w:r>
            <w:r w:rsidR="003B1050">
              <w:rPr>
                <w:rFonts w:eastAsia="Times New Roman" w:cs="Times New Roman"/>
                <w:color w:val="000000"/>
                <w:szCs w:val="24"/>
              </w:rPr>
              <w:t>1</w:t>
            </w:r>
          </w:p>
        </w:tc>
        <w:tc>
          <w:tcPr>
            <w:tcW w:w="1230" w:type="dxa"/>
            <w:tcBorders>
              <w:bottom w:val="double" w:sz="4" w:space="0" w:color="auto"/>
            </w:tcBorders>
            <w:shd w:val="clear" w:color="auto" w:fill="auto"/>
            <w:noWrap/>
            <w:vAlign w:val="center"/>
            <w:hideMark/>
          </w:tcPr>
          <w:p w14:paraId="589EE129"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15.619</w:t>
            </w:r>
          </w:p>
        </w:tc>
        <w:tc>
          <w:tcPr>
            <w:tcW w:w="1234" w:type="dxa"/>
            <w:tcBorders>
              <w:bottom w:val="double" w:sz="4" w:space="0" w:color="auto"/>
            </w:tcBorders>
            <w:shd w:val="clear" w:color="auto" w:fill="auto"/>
            <w:noWrap/>
            <w:vAlign w:val="center"/>
            <w:hideMark/>
          </w:tcPr>
          <w:p w14:paraId="6230C33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0.331</w:t>
            </w:r>
          </w:p>
        </w:tc>
        <w:tc>
          <w:tcPr>
            <w:tcW w:w="1196" w:type="dxa"/>
            <w:tcBorders>
              <w:bottom w:val="double" w:sz="4" w:space="0" w:color="auto"/>
            </w:tcBorders>
            <w:shd w:val="clear" w:color="auto" w:fill="auto"/>
            <w:noWrap/>
            <w:vAlign w:val="center"/>
            <w:hideMark/>
          </w:tcPr>
          <w:p w14:paraId="03BE600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6.821</w:t>
            </w:r>
          </w:p>
        </w:tc>
      </w:tr>
      <w:tr w:rsidR="005227E5" w:rsidRPr="00B31CDB" w14:paraId="364A0D39" w14:textId="77777777" w:rsidTr="0079076F">
        <w:trPr>
          <w:trHeight w:val="302"/>
        </w:trPr>
        <w:tc>
          <w:tcPr>
            <w:tcW w:w="8895" w:type="dxa"/>
            <w:gridSpan w:val="5"/>
            <w:tcBorders>
              <w:top w:val="double" w:sz="4" w:space="0" w:color="auto"/>
              <w:bottom w:val="double" w:sz="4" w:space="0" w:color="auto"/>
            </w:tcBorders>
            <w:shd w:val="clear" w:color="auto" w:fill="auto"/>
            <w:noWrap/>
            <w:vAlign w:val="bottom"/>
            <w:hideMark/>
          </w:tcPr>
          <w:p w14:paraId="3E03E3E1" w14:textId="351FD463" w:rsidR="005227E5" w:rsidRPr="00C87B8B" w:rsidRDefault="005227E5" w:rsidP="00EB5197">
            <w:pPr>
              <w:jc w:val="left"/>
              <w:rPr>
                <w:rFonts w:eastAsia="Times New Roman" w:cs="Times New Roman"/>
                <w:i/>
                <w:iCs/>
                <w:szCs w:val="24"/>
              </w:rPr>
            </w:pPr>
            <w:r w:rsidRPr="00C87B8B">
              <w:rPr>
                <w:rFonts w:eastAsia="Times New Roman" w:cs="Times New Roman"/>
                <w:i/>
                <w:iCs/>
                <w:color w:val="000000"/>
                <w:szCs w:val="24"/>
              </w:rPr>
              <w:t>Correlation</w:t>
            </w:r>
            <w:r w:rsidR="00FD38C2">
              <w:rPr>
                <w:rFonts w:eastAsia="Times New Roman" w:cs="Times New Roman"/>
                <w:i/>
                <w:iCs/>
                <w:color w:val="000000"/>
                <w:szCs w:val="24"/>
              </w:rPr>
              <w:t xml:space="preserve"> Parameter</w:t>
            </w:r>
            <w:r w:rsidRPr="00C87B8B">
              <w:rPr>
                <w:rFonts w:eastAsia="Times New Roman" w:cs="Times New Roman"/>
                <w:i/>
                <w:iCs/>
                <w:color w:val="000000"/>
                <w:szCs w:val="24"/>
              </w:rPr>
              <w:t>s</w:t>
            </w:r>
          </w:p>
        </w:tc>
      </w:tr>
      <w:tr w:rsidR="005227E5" w:rsidRPr="00B31CDB" w14:paraId="53F0A846" w14:textId="77777777" w:rsidTr="0079076F">
        <w:trPr>
          <w:trHeight w:val="302"/>
        </w:trPr>
        <w:tc>
          <w:tcPr>
            <w:tcW w:w="3955" w:type="dxa"/>
            <w:tcBorders>
              <w:top w:val="double" w:sz="4" w:space="0" w:color="auto"/>
            </w:tcBorders>
            <w:shd w:val="clear" w:color="auto" w:fill="auto"/>
            <w:noWrap/>
            <w:vAlign w:val="bottom"/>
            <w:hideMark/>
          </w:tcPr>
          <w:p w14:paraId="51EA1F6B" w14:textId="77777777" w:rsidR="005227E5" w:rsidRPr="00B31CDB" w:rsidRDefault="005227E5" w:rsidP="00EB5197">
            <w:pPr>
              <w:ind w:left="58"/>
              <w:jc w:val="left"/>
              <w:rPr>
                <w:rFonts w:eastAsia="Times New Roman" w:cs="Times New Roman"/>
                <w:color w:val="000000"/>
                <w:szCs w:val="24"/>
              </w:rPr>
            </w:pPr>
            <w:r w:rsidRPr="00B31CDB">
              <w:rPr>
                <w:rFonts w:eastAsia="Times New Roman" w:cs="Times New Roman"/>
                <w:color w:val="000000"/>
                <w:szCs w:val="24"/>
              </w:rPr>
              <w:lastRenderedPageBreak/>
              <w:t>σ^2</w:t>
            </w:r>
          </w:p>
        </w:tc>
        <w:tc>
          <w:tcPr>
            <w:tcW w:w="1280" w:type="dxa"/>
            <w:tcBorders>
              <w:top w:val="double" w:sz="4" w:space="0" w:color="auto"/>
            </w:tcBorders>
            <w:shd w:val="clear" w:color="auto" w:fill="auto"/>
            <w:noWrap/>
            <w:vAlign w:val="center"/>
            <w:hideMark/>
          </w:tcPr>
          <w:p w14:paraId="1DC4324D"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1.912</w:t>
            </w:r>
          </w:p>
        </w:tc>
        <w:tc>
          <w:tcPr>
            <w:tcW w:w="1230" w:type="dxa"/>
            <w:tcBorders>
              <w:top w:val="double" w:sz="4" w:space="0" w:color="auto"/>
            </w:tcBorders>
            <w:shd w:val="clear" w:color="auto" w:fill="auto"/>
            <w:noWrap/>
            <w:vAlign w:val="center"/>
            <w:hideMark/>
          </w:tcPr>
          <w:p w14:paraId="0ACA731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49.925</w:t>
            </w:r>
          </w:p>
        </w:tc>
        <w:tc>
          <w:tcPr>
            <w:tcW w:w="1234" w:type="dxa"/>
            <w:tcBorders>
              <w:top w:val="double" w:sz="4" w:space="0" w:color="auto"/>
            </w:tcBorders>
            <w:shd w:val="clear" w:color="auto" w:fill="auto"/>
            <w:noWrap/>
            <w:vAlign w:val="center"/>
            <w:hideMark/>
          </w:tcPr>
          <w:p w14:paraId="13AD046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1.231</w:t>
            </w:r>
          </w:p>
        </w:tc>
        <w:tc>
          <w:tcPr>
            <w:tcW w:w="1196" w:type="dxa"/>
            <w:tcBorders>
              <w:top w:val="double" w:sz="4" w:space="0" w:color="auto"/>
            </w:tcBorders>
            <w:shd w:val="clear" w:color="auto" w:fill="auto"/>
            <w:noWrap/>
            <w:vAlign w:val="center"/>
            <w:hideMark/>
          </w:tcPr>
          <w:p w14:paraId="6F8ECA3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23.841</w:t>
            </w:r>
          </w:p>
        </w:tc>
      </w:tr>
      <w:tr w:rsidR="005227E5" w:rsidRPr="00B31CDB" w14:paraId="420B306C" w14:textId="77777777" w:rsidTr="0079076F">
        <w:trPr>
          <w:trHeight w:val="302"/>
        </w:trPr>
        <w:tc>
          <w:tcPr>
            <w:tcW w:w="3955" w:type="dxa"/>
            <w:shd w:val="clear" w:color="auto" w:fill="auto"/>
            <w:noWrap/>
            <w:vAlign w:val="bottom"/>
            <w:hideMark/>
          </w:tcPr>
          <w:p w14:paraId="52746EDA" w14:textId="77777777" w:rsidR="005227E5" w:rsidRPr="00B31CDB" w:rsidRDefault="005227E5" w:rsidP="00EB5197">
            <w:pPr>
              <w:ind w:left="58"/>
              <w:jc w:val="left"/>
              <w:rPr>
                <w:rFonts w:eastAsia="Times New Roman" w:cs="Times New Roman"/>
                <w:color w:val="000000"/>
                <w:szCs w:val="24"/>
              </w:rPr>
            </w:pPr>
            <w:r w:rsidRPr="00B31CDB">
              <w:rPr>
                <w:rFonts w:eastAsia="Times New Roman" w:cs="Times New Roman"/>
                <w:color w:val="000000"/>
                <w:szCs w:val="24"/>
              </w:rPr>
              <w:t>ϕ</w:t>
            </w:r>
          </w:p>
        </w:tc>
        <w:tc>
          <w:tcPr>
            <w:tcW w:w="1280" w:type="dxa"/>
            <w:shd w:val="clear" w:color="auto" w:fill="auto"/>
            <w:noWrap/>
            <w:vAlign w:val="center"/>
            <w:hideMark/>
          </w:tcPr>
          <w:p w14:paraId="57CD90D6"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0.286</w:t>
            </w:r>
          </w:p>
        </w:tc>
        <w:tc>
          <w:tcPr>
            <w:tcW w:w="1230" w:type="dxa"/>
            <w:shd w:val="clear" w:color="auto" w:fill="auto"/>
            <w:noWrap/>
            <w:vAlign w:val="center"/>
            <w:hideMark/>
          </w:tcPr>
          <w:p w14:paraId="043A5450"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102.854</w:t>
            </w:r>
          </w:p>
        </w:tc>
        <w:tc>
          <w:tcPr>
            <w:tcW w:w="1234" w:type="dxa"/>
            <w:shd w:val="clear" w:color="auto" w:fill="auto"/>
            <w:noWrap/>
            <w:vAlign w:val="center"/>
            <w:hideMark/>
          </w:tcPr>
          <w:p w14:paraId="4CC12A1F"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0.331</w:t>
            </w:r>
          </w:p>
        </w:tc>
        <w:tc>
          <w:tcPr>
            <w:tcW w:w="1196" w:type="dxa"/>
            <w:shd w:val="clear" w:color="auto" w:fill="auto"/>
            <w:noWrap/>
            <w:vAlign w:val="center"/>
            <w:hideMark/>
          </w:tcPr>
          <w:p w14:paraId="2979D5C8"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86.439</w:t>
            </w:r>
          </w:p>
        </w:tc>
      </w:tr>
      <w:tr w:rsidR="005227E5" w:rsidRPr="00B31CDB" w14:paraId="776A7950" w14:textId="77777777" w:rsidTr="0079076F">
        <w:trPr>
          <w:trHeight w:val="302"/>
        </w:trPr>
        <w:tc>
          <w:tcPr>
            <w:tcW w:w="3955" w:type="dxa"/>
            <w:shd w:val="clear" w:color="auto" w:fill="auto"/>
            <w:noWrap/>
            <w:vAlign w:val="bottom"/>
            <w:hideMark/>
          </w:tcPr>
          <w:p w14:paraId="424D861C" w14:textId="77777777" w:rsidR="005227E5" w:rsidRPr="00B31CDB" w:rsidRDefault="005227E5" w:rsidP="00EB5197">
            <w:pPr>
              <w:ind w:left="58"/>
              <w:jc w:val="left"/>
              <w:rPr>
                <w:rFonts w:eastAsia="Times New Roman" w:cs="Times New Roman"/>
                <w:color w:val="000000"/>
                <w:szCs w:val="24"/>
              </w:rPr>
            </w:pPr>
            <w:r w:rsidRPr="00B31CDB">
              <w:rPr>
                <w:rFonts w:eastAsia="Times New Roman" w:cs="Times New Roman"/>
                <w:color w:val="000000"/>
                <w:szCs w:val="24"/>
              </w:rPr>
              <w:t>ρ</w:t>
            </w:r>
          </w:p>
        </w:tc>
        <w:tc>
          <w:tcPr>
            <w:tcW w:w="1280" w:type="dxa"/>
            <w:shd w:val="clear" w:color="auto" w:fill="auto"/>
            <w:noWrap/>
            <w:vAlign w:val="center"/>
            <w:hideMark/>
          </w:tcPr>
          <w:p w14:paraId="331EC913" w14:textId="4BAD4234"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0.83</w:t>
            </w:r>
            <w:r>
              <w:rPr>
                <w:rFonts w:eastAsia="Times New Roman" w:cs="Times New Roman"/>
                <w:color w:val="000000"/>
                <w:szCs w:val="24"/>
              </w:rPr>
              <w:t>0</w:t>
            </w:r>
          </w:p>
        </w:tc>
        <w:tc>
          <w:tcPr>
            <w:tcW w:w="1230" w:type="dxa"/>
            <w:shd w:val="clear" w:color="auto" w:fill="auto"/>
            <w:noWrap/>
            <w:vAlign w:val="center"/>
            <w:hideMark/>
          </w:tcPr>
          <w:p w14:paraId="3F149CC4"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12.561</w:t>
            </w:r>
          </w:p>
        </w:tc>
        <w:tc>
          <w:tcPr>
            <w:tcW w:w="1234" w:type="dxa"/>
            <w:shd w:val="clear" w:color="auto" w:fill="auto"/>
            <w:noWrap/>
            <w:vAlign w:val="center"/>
            <w:hideMark/>
          </w:tcPr>
          <w:p w14:paraId="14CEF44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0.497</w:t>
            </w:r>
          </w:p>
        </w:tc>
        <w:tc>
          <w:tcPr>
            <w:tcW w:w="1196" w:type="dxa"/>
            <w:shd w:val="clear" w:color="auto" w:fill="auto"/>
            <w:noWrap/>
            <w:vAlign w:val="center"/>
            <w:hideMark/>
          </w:tcPr>
          <w:p w14:paraId="627D2E6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37.822</w:t>
            </w:r>
          </w:p>
        </w:tc>
      </w:tr>
      <w:tr w:rsidR="005227E5" w:rsidRPr="00B31CDB" w14:paraId="638B088A" w14:textId="77777777" w:rsidTr="0079076F">
        <w:trPr>
          <w:trHeight w:val="302"/>
        </w:trPr>
        <w:tc>
          <w:tcPr>
            <w:tcW w:w="3955" w:type="dxa"/>
            <w:tcBorders>
              <w:bottom w:val="double" w:sz="4" w:space="0" w:color="auto"/>
            </w:tcBorders>
            <w:shd w:val="clear" w:color="auto" w:fill="auto"/>
            <w:noWrap/>
            <w:vAlign w:val="bottom"/>
            <w:hideMark/>
          </w:tcPr>
          <w:p w14:paraId="4ABCE5FA" w14:textId="77777777" w:rsidR="005227E5" w:rsidRPr="00B31CDB" w:rsidRDefault="005227E5" w:rsidP="00EB5197">
            <w:pPr>
              <w:ind w:left="58"/>
              <w:jc w:val="left"/>
              <w:rPr>
                <w:rFonts w:eastAsia="Times New Roman" w:cs="Times New Roman"/>
                <w:color w:val="000000"/>
                <w:szCs w:val="24"/>
              </w:rPr>
            </w:pPr>
            <w:r w:rsidRPr="00B31CDB">
              <w:rPr>
                <w:rFonts w:eastAsia="Times New Roman" w:cs="Times New Roman"/>
                <w:color w:val="000000"/>
                <w:szCs w:val="24"/>
              </w:rPr>
              <w:t>η</w:t>
            </w:r>
          </w:p>
        </w:tc>
        <w:tc>
          <w:tcPr>
            <w:tcW w:w="1280" w:type="dxa"/>
            <w:tcBorders>
              <w:bottom w:val="double" w:sz="4" w:space="0" w:color="auto"/>
            </w:tcBorders>
            <w:shd w:val="clear" w:color="auto" w:fill="auto"/>
            <w:noWrap/>
            <w:vAlign w:val="center"/>
            <w:hideMark/>
          </w:tcPr>
          <w:p w14:paraId="4BCF81A9"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0.683</w:t>
            </w:r>
          </w:p>
        </w:tc>
        <w:tc>
          <w:tcPr>
            <w:tcW w:w="1230" w:type="dxa"/>
            <w:tcBorders>
              <w:bottom w:val="double" w:sz="4" w:space="0" w:color="auto"/>
            </w:tcBorders>
            <w:shd w:val="clear" w:color="auto" w:fill="auto"/>
            <w:noWrap/>
            <w:vAlign w:val="center"/>
            <w:hideMark/>
          </w:tcPr>
          <w:p w14:paraId="72AE0210"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102.236</w:t>
            </w:r>
          </w:p>
        </w:tc>
        <w:tc>
          <w:tcPr>
            <w:tcW w:w="1234" w:type="dxa"/>
            <w:tcBorders>
              <w:bottom w:val="double" w:sz="4" w:space="0" w:color="auto"/>
            </w:tcBorders>
            <w:shd w:val="clear" w:color="auto" w:fill="auto"/>
            <w:noWrap/>
            <w:vAlign w:val="center"/>
            <w:hideMark/>
          </w:tcPr>
          <w:p w14:paraId="18921F91"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0.683</w:t>
            </w:r>
          </w:p>
        </w:tc>
        <w:tc>
          <w:tcPr>
            <w:tcW w:w="1196" w:type="dxa"/>
            <w:tcBorders>
              <w:bottom w:val="double" w:sz="4" w:space="0" w:color="auto"/>
            </w:tcBorders>
            <w:shd w:val="clear" w:color="auto" w:fill="auto"/>
            <w:noWrap/>
            <w:vAlign w:val="center"/>
            <w:hideMark/>
          </w:tcPr>
          <w:p w14:paraId="38D1CBFA" w14:textId="77777777" w:rsidR="005227E5" w:rsidRPr="00B31CDB" w:rsidRDefault="005227E5" w:rsidP="00EB5197">
            <w:pPr>
              <w:jc w:val="left"/>
              <w:rPr>
                <w:rFonts w:eastAsia="Times New Roman" w:cs="Times New Roman"/>
                <w:color w:val="000000"/>
                <w:szCs w:val="24"/>
              </w:rPr>
            </w:pPr>
            <w:r w:rsidRPr="00B31CDB">
              <w:rPr>
                <w:rFonts w:eastAsia="Times New Roman" w:cs="Times New Roman"/>
                <w:color w:val="000000"/>
                <w:szCs w:val="24"/>
              </w:rPr>
              <w:t>102.236</w:t>
            </w:r>
          </w:p>
        </w:tc>
      </w:tr>
    </w:tbl>
    <w:p w14:paraId="2183C9F6" w14:textId="77777777" w:rsidR="00B31CDB" w:rsidRDefault="00B31CDB" w:rsidP="00EB5197"/>
    <w:p w14:paraId="3B0EDD93" w14:textId="294F29BA" w:rsidR="007F2E31" w:rsidRPr="00A03B08" w:rsidRDefault="007F2E31" w:rsidP="00EB5197">
      <w:pPr>
        <w:pStyle w:val="Heading3"/>
      </w:pPr>
      <w:r w:rsidRPr="00A03B08">
        <w:t xml:space="preserve">COVID </w:t>
      </w:r>
      <w:r w:rsidR="00841637">
        <w:t xml:space="preserve">Transmission </w:t>
      </w:r>
      <w:r w:rsidRPr="00A03B08">
        <w:t>Model</w:t>
      </w:r>
    </w:p>
    <w:p w14:paraId="4CBA6316" w14:textId="44AA043C" w:rsidR="00087DEC" w:rsidRDefault="00A03B08" w:rsidP="00EB5197">
      <w:r w:rsidRPr="00A03B08">
        <w:rPr>
          <w:u w:val="single"/>
        </w:rPr>
        <w:t>Constant</w:t>
      </w:r>
      <w:r>
        <w:t xml:space="preserve">: </w:t>
      </w:r>
      <w:r w:rsidR="00087DEC" w:rsidRPr="00B03DD4">
        <w:t xml:space="preserve">The </w:t>
      </w:r>
      <w:r w:rsidR="00087DEC">
        <w:t>constant</w:t>
      </w:r>
      <w:r w:rsidR="00087DEC" w:rsidRPr="00B03DD4">
        <w:t xml:space="preserve"> does not have any substantive interpretation after adding other independent variables.</w:t>
      </w:r>
    </w:p>
    <w:p w14:paraId="640F6B25" w14:textId="77777777" w:rsidR="0006464F" w:rsidRDefault="0006464F" w:rsidP="00EB5197">
      <w:pPr>
        <w:rPr>
          <w:u w:val="single"/>
        </w:rPr>
      </w:pPr>
    </w:p>
    <w:p w14:paraId="00117F0D" w14:textId="134B52E5" w:rsidR="00CF62D1" w:rsidRDefault="00A03B08" w:rsidP="00EB5197">
      <w:r w:rsidRPr="00A03B08">
        <w:rPr>
          <w:u w:val="single"/>
        </w:rPr>
        <w:t>Temporal Factors</w:t>
      </w:r>
      <w:r>
        <w:t xml:space="preserve">: </w:t>
      </w:r>
      <w:r w:rsidR="00324130">
        <w:t>In the COVID transmission model</w:t>
      </w:r>
      <w:r w:rsidR="00CF62D1" w:rsidRPr="00253FBF">
        <w:t>, we introduced different temporal time period</w:t>
      </w:r>
      <w:r w:rsidR="00A228CB">
        <w:t xml:space="preserve"> specific indicator variable</w:t>
      </w:r>
      <w:r w:rsidR="00CF62D1" w:rsidRPr="00253FBF">
        <w:t xml:space="preserve">s to examine </w:t>
      </w:r>
      <w:r w:rsidR="00A228CB">
        <w:t>how the different phases affected</w:t>
      </w:r>
      <w:r w:rsidR="00CF62D1" w:rsidRPr="00253FBF">
        <w:t xml:space="preserve"> virus transmission rate. The </w:t>
      </w:r>
      <w:r w:rsidR="003D0FB0" w:rsidRPr="00253FBF">
        <w:t xml:space="preserve">temporal attributes </w:t>
      </w:r>
      <w:r w:rsidR="00A228CB">
        <w:t xml:space="preserve">considered include: </w:t>
      </w:r>
      <w:r w:rsidR="008F5771">
        <w:t xml:space="preserve">(a) </w:t>
      </w:r>
      <w:r w:rsidR="009F398F">
        <w:t>early</w:t>
      </w:r>
      <w:r w:rsidR="008F5771">
        <w:t xml:space="preserve">-pandemic </w:t>
      </w:r>
      <w:r w:rsidR="00C2694A">
        <w:t>period</w:t>
      </w:r>
      <w:r w:rsidR="00BB2BD3">
        <w:t xml:space="preserve"> (</w:t>
      </w:r>
      <w:r w:rsidR="00BB2BD3">
        <w:rPr>
          <w:rFonts w:cs="Times New Roman"/>
        </w:rPr>
        <w:t>March 2020 through June 2020)</w:t>
      </w:r>
      <w:r w:rsidR="00C2694A">
        <w:t xml:space="preserve">, (b) </w:t>
      </w:r>
      <w:r w:rsidR="00372103">
        <w:t>1</w:t>
      </w:r>
      <w:r w:rsidR="00372103" w:rsidRPr="008D4CB7">
        <w:rPr>
          <w:vertAlign w:val="superscript"/>
        </w:rPr>
        <w:t>st</w:t>
      </w:r>
      <w:r w:rsidR="00372103">
        <w:t xml:space="preserve"> wave defined as </w:t>
      </w:r>
      <w:r w:rsidR="00BB2BD3">
        <w:t xml:space="preserve">the time period from </w:t>
      </w:r>
      <w:r w:rsidR="00BB2BD3">
        <w:rPr>
          <w:rFonts w:cs="Times New Roman"/>
        </w:rPr>
        <w:t>July 2020 to October 2020</w:t>
      </w:r>
      <w:r w:rsidR="00372103">
        <w:t>, (c) 2</w:t>
      </w:r>
      <w:r w:rsidR="00372103" w:rsidRPr="008D4CB7">
        <w:rPr>
          <w:vertAlign w:val="superscript"/>
        </w:rPr>
        <w:t>nd</w:t>
      </w:r>
      <w:r w:rsidR="00372103">
        <w:t xml:space="preserve"> wave defined as </w:t>
      </w:r>
      <w:r w:rsidR="00BB2BD3">
        <w:t xml:space="preserve">time period from </w:t>
      </w:r>
      <w:r w:rsidR="00BB2BD3">
        <w:rPr>
          <w:rFonts w:cs="Times New Roman"/>
        </w:rPr>
        <w:t>November 2020 to February 2021</w:t>
      </w:r>
      <w:r w:rsidR="00372103">
        <w:t xml:space="preserve">and (d) </w:t>
      </w:r>
      <w:r w:rsidR="006728CC">
        <w:t xml:space="preserve">Vaccination </w:t>
      </w:r>
      <w:r w:rsidR="009A1FF7">
        <w:t>period</w:t>
      </w:r>
      <w:r w:rsidR="006728CC">
        <w:t xml:space="preserve"> defined as </w:t>
      </w:r>
      <w:r w:rsidR="00BB2BD3">
        <w:rPr>
          <w:rFonts w:cs="Times New Roman"/>
        </w:rPr>
        <w:t>time period from March 2021 to August 2021)</w:t>
      </w:r>
      <w:r w:rsidR="006728CC">
        <w:t xml:space="preserve">. The model parameters </w:t>
      </w:r>
      <w:r w:rsidR="00261D61">
        <w:t>for these indicator variables estimated with vaccination phase as the base variable</w:t>
      </w:r>
      <w:r w:rsidR="006728CC">
        <w:t xml:space="preserve"> offered expected </w:t>
      </w:r>
      <w:r w:rsidR="00E6385A">
        <w:t>results.</w:t>
      </w:r>
      <w:r w:rsidR="00734991" w:rsidRPr="00253FBF">
        <w:t xml:space="preserve"> </w:t>
      </w:r>
      <w:r w:rsidR="004D204F">
        <w:t xml:space="preserve"> The coefficient for the </w:t>
      </w:r>
      <w:r w:rsidR="009F398F">
        <w:t>early</w:t>
      </w:r>
      <w:r w:rsidR="004D204F">
        <w:t xml:space="preserve">-pandemic period highlights the lower COVID-19 transmission rate relative to the </w:t>
      </w:r>
      <w:r w:rsidR="009A1FF7">
        <w:t>vaccination period. The result can be attributed to i</w:t>
      </w:r>
      <w:r w:rsidR="00D00C41" w:rsidRPr="00253FBF">
        <w:t xml:space="preserve">mplementation of strict lockdown measures, travel restrictions, and public awareness campaigns promoting preventive measures. </w:t>
      </w:r>
      <w:r w:rsidR="00E25054">
        <w:t xml:space="preserve">In the middle </w:t>
      </w:r>
      <w:r w:rsidR="00D00C41" w:rsidRPr="00253FBF">
        <w:t xml:space="preserve">phases, the </w:t>
      </w:r>
      <w:r w:rsidR="00734991" w:rsidRPr="00253FBF">
        <w:t>model results</w:t>
      </w:r>
      <w:r w:rsidR="00D00C41" w:rsidRPr="00253FBF">
        <w:t xml:space="preserve"> </w:t>
      </w:r>
      <w:r w:rsidR="00734991" w:rsidRPr="00253FBF">
        <w:t>reveal</w:t>
      </w:r>
      <w:r w:rsidR="00D00C41" w:rsidRPr="00253FBF">
        <w:t xml:space="preserve"> a </w:t>
      </w:r>
      <w:r w:rsidR="00734991" w:rsidRPr="00253FBF">
        <w:t>significant increase</w:t>
      </w:r>
      <w:r w:rsidR="00D00C41" w:rsidRPr="00253FBF">
        <w:t xml:space="preserve"> in the COVID-19 transmission </w:t>
      </w:r>
      <w:r w:rsidR="00734991" w:rsidRPr="00253FBF">
        <w:t xml:space="preserve">rate </w:t>
      </w:r>
      <w:r w:rsidR="00D00C41" w:rsidRPr="00253FBF">
        <w:t xml:space="preserve">as </w:t>
      </w:r>
      <w:r w:rsidR="00734991" w:rsidRPr="00253FBF">
        <w:t>evidenced</w:t>
      </w:r>
      <w:r w:rsidR="00D00C41" w:rsidRPr="00253FBF">
        <w:t xml:space="preserve"> by the positive coefficient </w:t>
      </w:r>
      <w:r w:rsidR="00734991" w:rsidRPr="00253FBF">
        <w:t xml:space="preserve">observed </w:t>
      </w:r>
      <w:r w:rsidR="00D00C41" w:rsidRPr="00253FBF">
        <w:t>for both 1</w:t>
      </w:r>
      <w:r w:rsidR="00D00C41" w:rsidRPr="00253FBF">
        <w:rPr>
          <w:vertAlign w:val="superscript"/>
        </w:rPr>
        <w:t>st</w:t>
      </w:r>
      <w:r w:rsidR="00D00C41" w:rsidRPr="00253FBF">
        <w:t xml:space="preserve"> and 2</w:t>
      </w:r>
      <w:r w:rsidR="00D00C41" w:rsidRPr="00253FBF">
        <w:rPr>
          <w:vertAlign w:val="superscript"/>
        </w:rPr>
        <w:t>nd</w:t>
      </w:r>
      <w:r w:rsidR="00D00C41" w:rsidRPr="00253FBF">
        <w:t xml:space="preserve"> wave period of the pandemic. </w:t>
      </w:r>
      <w:r w:rsidR="00E25054">
        <w:t>Interestingly</w:t>
      </w:r>
      <w:r w:rsidR="00734991" w:rsidRPr="00253FBF">
        <w:t>, the impact is more pronounced during the 2</w:t>
      </w:r>
      <w:r w:rsidR="00734991" w:rsidRPr="00253FBF">
        <w:rPr>
          <w:vertAlign w:val="superscript"/>
        </w:rPr>
        <w:t>nd</w:t>
      </w:r>
      <w:r w:rsidR="00734991" w:rsidRPr="00253FBF">
        <w:t xml:space="preserve"> wave period, underscoring a substantial rise of COVID cases during that particular period. Increased social interactions and emergence of new variants are some of the factors that </w:t>
      </w:r>
      <w:r w:rsidR="00573CDA" w:rsidRPr="00253FBF">
        <w:t>facilitate</w:t>
      </w:r>
      <w:r w:rsidR="00E25054">
        <w:t>d</w:t>
      </w:r>
      <w:r w:rsidR="00573CDA" w:rsidRPr="00253FBF">
        <w:t xml:space="preserve"> </w:t>
      </w:r>
      <w:r w:rsidR="00FD0A6F">
        <w:t xml:space="preserve">such </w:t>
      </w:r>
      <w:r w:rsidR="00E25054">
        <w:t>increased</w:t>
      </w:r>
      <w:r w:rsidR="00573CDA" w:rsidRPr="00253FBF">
        <w:t xml:space="preserve"> transmission of the virus</w:t>
      </w:r>
      <w:r w:rsidR="00734991" w:rsidRPr="00253FBF">
        <w:t>.</w:t>
      </w:r>
      <w:r w:rsidR="00734991">
        <w:t xml:space="preserve"> </w:t>
      </w:r>
    </w:p>
    <w:p w14:paraId="24501157" w14:textId="77777777" w:rsidR="00CF62D1" w:rsidRDefault="00CF62D1" w:rsidP="00EB5197"/>
    <w:p w14:paraId="3CD07EEE" w14:textId="0D78149F" w:rsidR="00B0688B" w:rsidRDefault="00A03B08" w:rsidP="00EB5197">
      <w:r w:rsidRPr="00A03B08">
        <w:rPr>
          <w:u w:val="single"/>
        </w:rPr>
        <w:t xml:space="preserve">Mobility-related </w:t>
      </w:r>
      <w:r w:rsidR="003C35AD">
        <w:rPr>
          <w:u w:val="single"/>
        </w:rPr>
        <w:t>v</w:t>
      </w:r>
      <w:r w:rsidRPr="00A03B08">
        <w:rPr>
          <w:u w:val="single"/>
        </w:rPr>
        <w:t>ariables</w:t>
      </w:r>
      <w:r>
        <w:t xml:space="preserve">: </w:t>
      </w:r>
      <w:r w:rsidR="00676A61">
        <w:t xml:space="preserve">As discussed earlier, </w:t>
      </w:r>
      <w:r w:rsidR="00676A61" w:rsidRPr="00676A61">
        <w:t xml:space="preserve">we recognize that </w:t>
      </w:r>
      <w:r w:rsidR="00676A61">
        <w:t>mobility</w:t>
      </w:r>
      <w:r w:rsidR="00676A61" w:rsidRPr="00676A61">
        <w:t xml:space="preserve"> will have a lagged effect on </w:t>
      </w:r>
      <w:r w:rsidR="00676A61">
        <w:t xml:space="preserve">COVID-19 </w:t>
      </w:r>
      <w:r w:rsidR="00676A61" w:rsidRPr="00676A61">
        <w:t xml:space="preserve">transmission </w:t>
      </w:r>
      <w:r w:rsidR="00EE0301" w:rsidRPr="00676A61">
        <w:t>i.e.,</w:t>
      </w:r>
      <w:r w:rsidR="00676A61" w:rsidRPr="00676A61">
        <w:t xml:space="preserve"> exposure to virus today is likely to manifest as a case in the next 5 to 14 days. </w:t>
      </w:r>
      <w:r w:rsidR="005937C4">
        <w:t>Hence, i</w:t>
      </w:r>
      <w:r w:rsidR="00676A61" w:rsidRPr="00676A61">
        <w:t xml:space="preserve">n our analysis, we </w:t>
      </w:r>
      <w:r w:rsidR="00647FC2">
        <w:t>tested</w:t>
      </w:r>
      <w:r w:rsidR="005937C4">
        <w:t xml:space="preserve"> </w:t>
      </w:r>
      <w:r w:rsidR="00676A61" w:rsidRPr="00676A61">
        <w:t xml:space="preserve">several lag combinations </w:t>
      </w:r>
      <w:r w:rsidR="00647FC2">
        <w:t xml:space="preserve">in the model development. </w:t>
      </w:r>
      <w:r w:rsidR="00FD6CA3">
        <w:t xml:space="preserve">Based on our model estimation, </w:t>
      </w:r>
      <w:r w:rsidR="005937C4">
        <w:t>the best statistical and intuitive fit was obtained for the specification with 2-weeks lag mobility</w:t>
      </w:r>
      <w:r w:rsidR="00676A61" w:rsidRPr="00676A61">
        <w:t>.</w:t>
      </w:r>
      <w:r w:rsidR="00E7777D">
        <w:t xml:space="preserve"> As expected, the </w:t>
      </w:r>
      <w:r w:rsidR="005074AD">
        <w:t xml:space="preserve">overall </w:t>
      </w:r>
      <w:r w:rsidR="00E7777D">
        <w:t xml:space="preserve">mobility effect </w:t>
      </w:r>
      <w:r w:rsidR="005074AD">
        <w:t>shows a positive contribution</w:t>
      </w:r>
      <w:r w:rsidR="00B0688B">
        <w:t xml:space="preserve"> in transmitting COVID-19 virus</w:t>
      </w:r>
      <w:r w:rsidR="00B91AEB">
        <w:t xml:space="preserve"> </w:t>
      </w:r>
      <w:r w:rsidR="00B91AEB">
        <w:fldChar w:fldCharType="begin" w:fldLock="1"/>
      </w:r>
      <w:r w:rsidR="004968DA">
        <w:instrText>ADDIN CSL_CITATION {"citationItems":[{"id":"ITEM-1","itemData":{"DOI":"10.1371/journal.pone.0256747","ISSN":"19326203","PMID":"34437628","abstract":"Objective Mass gathering events (MGEs) are associated with the transmission of COVID-19. Between 6 and 10 March 2020, several MGEs related to the Falles festival took place in Borriana, a municipality in the province of Castellon (Spain). The aim of this study was to estimate the incidence of COVID-19 and its association with these MGEs, and to quantify the potential risk factors of its occurrence. Methods During May and June 2020, a population-based retrospective cohort study was carried out by the Public Health Center of Castelló and the Hospital de la Plana in Vila-real. Participants were obtained from a representative sample of 1663 people with potential exposure at six MGEs. A questionnaire survey was carried out to obtain information about attendance at MGEs and COVID-19 disease. In addition, a serologic survey of antibodies against SARSCov-2 was implemented. Inverse probability weighted regression was used in the statistical analysis. Results A total of 1338 subjects participated in the questionnaire survey (80.5%), 997 of whom undertook the serologic survey. Five hundred and seventy cases were observed with an attack rate (AR) of 42.6%; average age was 36 years, 62.3% were female, 536 cases were confirmed by laboratory tests, and 514 cases were found with SARS-CoV-2 total antibodies. Considering MGE exposure, AR was 39.2% (496/1264). A dose-response relationship was found between MGE attendance and the disease, (adjusted relative risk [aRR] = 4.11 95% confidence interval [CI]3.25–5.19). Two MGEs with a dinner and dance in the same building had higher risks. Associated risk factors with the incidence were older age, obesity, and upper and middle class versus lower class; current smoking was protective. Conclusions The study suggests the significance of MGEs in the COVID-19 transmission that could explain the subsequent outbreak in Borriana.","author":[{"dropping-particle":"","family":"Domènech-Montoliu","given":"Salvador","non-dropping-particle":"","parse-names":false,"suffix":""},{"dropping-particle":"","family":"Pac-Sa","given":"Maria Rosario","non-dropping-particle":"","parse-names":false,"suffix":""},{"dropping-particle":"","family":"Vidal-Utrillas","given":"Paula","non-dropping-particle":"","parse-names":false,"suffix":""},{"dropping-particle":"","family":"Latorre-Poveda","given":"Marta","non-dropping-particle":"","parse-names":false,"suffix":""},{"dropping-particle":"Del","family":"Rio-González","given":"Alba","non-dropping-particle":"","parse-names":false,"suffix":""},{"dropping-particle":"","family":"Ferrando-Rubert","given":"Sara","non-dropping-particle":"","parse-names":false,"suffix":""},{"dropping-particle":"","family":"Ferrer-Abad","given":"Gema","non-dropping-particle":"","parse-names":false,"suffix":""},{"dropping-particle":"","family":"Sánchez-Urbano","given":"Manuel","non-dropping-particle":"","parse-names":false,"suffix":""},{"dropping-particle":"","family":"Aparisi-Esteve","given":"Laura","non-dropping-particle":"","parse-names":false,"suffix":""},{"dropping-particle":"","family":"Badenes-Marques","given":"Gema","non-dropping-particle":"","parse-names":false,"suffix":""},{"dropping-particle":"","family":"Cervera-Ferrer","given":"Belén","non-dropping-particle":"","parse-names":false,"suffix":""},{"dropping-particle":"","family":"Clerig-Arnau","given":"Ursula","non-dropping-particle":"","parse-names":false,"suffix":""},{"dropping-particle":"","family":"Dols-Bernad","given":"Claudia","non-dropping-particle":"","parse-names":false,"suffix":""},{"dropping-particle":"","family":"Fontal-Carcel","given":"Maria","non-dropping-particle":"","parse-names":false,"suffix":""},{"dropping-particle":"","family":"Gomez-Lanas","given":"Lorna","non-dropping-particle":"","parse-names":false,"suffix":""},{"dropping-particle":"","family":"Jovani-Sales","given":"David","non-dropping-particle":"","parse-names":false,"suffix":""},{"dropping-particle":"","family":"León-Domingo","given":"Maria Carmen","non-dropping-particle":"","parse-names":false,"suffix":""},{"dropping-particle":"","family":"Llopico-Vilanova","given":"Maria Dolores","non-dropping-particle":"","parse-names":false,"suffix":""},{"dropping-particle":"","family":"Moros-Blasco","given":"Mercedes","non-dropping-particle":"","parse-names":false,"suffix":""},{"dropping-particle":"","family":"Notari-Rodríguez","given":"Cristina","non-dropping-particle":"","parse-names":false,"suffix":""},{"dropping-particle":"","family":"Ruíz-Puig","given":"Raquel","non-dropping-particle":"","parse-names":false,"suffix":""},{"dropping-particle":"","family":"Valls-López","given":"Sonia","non-dropping-particle":"","parse-names":false,"suffix":""},{"dropping-particle":"","family":"Arnedo-Pena","given":"Alberto","non-dropping-particle":"","parse-names":false,"suffix":""}],"container-title":"PLoS ONE","id":"ITEM-1","issue":"8 August","issued":{"date-parts":[["2021"]]},"page":"e0256747","publisher":"Public Library of Science San Francisco, CA USA","title":"“Mass gathering events and COVID-19 transmission in Borriana (Spain): A retrospective cohort study”","type":"article-journal","volume":"16"},"uris":["http://www.mendeley.com/documents/?uuid=c098db63-0472-43c5-854c-0715a062341e"]},{"id":"ITEM-2","itemData":{"DOI":"10.1038/s41598-021-96779-6","ISSN":"20452322","PMID":"34462499","abstract":"Public health officials discouraged travel and non-household gatherings for Thanksgiving, but data suggests that travel increased over the holidays. The objective of this analysis was to assess associations between holiday gatherings and SARS-CoV-2 positivity in the weeks following Thanksgiving. Using an online survey, we sampled 7770 individuals across 10 US states from December 4–18, 2020, about 8–22 days post-Thanksgiving. Participants were asked about Thanksgiving, COVID-19 symptoms, and SARS-CoV-2 testing and positivity in the prior 2 weeks. Logistic regression was used to identify factors associated with SARS-CoV-2 positivity and COVID-19 symptoms in the weeks following Thanksgiving. An activity score measured the total number of non-essential activities an individual participated in the prior 2 weeks. The probability of community transmission was estimated using Markov Chain Monte Carlo (MCMC) methods. While 47.2% had Thanksgiving at home with household members, 26.9% had guests and 25.9% traveled. There was a statistically significant interaction between how people spent Thanksgiving, the frequency of activities, and SARS-CoV-2 test positivity in the prior 2 weeks (p &lt; 0.05). Those who had guests for Thanksgiving or traveled were only more likely to test positive for SARS-CoV-2 if they also had high activity (e.g., participated in &gt; one non-essential activity/day in the prior 2 weeks). Had individuals limited the number and frequency of activities post-Thanksgiving, cases in surveyed individuals would be reduced by &gt; 50%. As travel continues to increase and the more contagious Delta variant starts to dominate transmission, it is critical to promote how to gather in a “low-risk” manner (e.g., minimize other non-essential activities) to mitigate the need for nationwide shelter-at-home orders.","author":[{"dropping-particle":"","family":"Mehta","given":"Shruti H.","non-dropping-particle":"","parse-names":false,"suffix":""},{"dropping-particle":"","family":"Clipman","given":"Steven J.","non-dropping-particle":"","parse-names":false,"suffix":""},{"dropping-particle":"","family":"Wesolowski","given":"Amy","non-dropping-particle":"","parse-names":false,"suffix":""},{"dropping-particle":"","family":"Solomon","given":"Sunil S.","non-dropping-particle":"","parse-names":false,"suffix":""}],"container-title":"Scientific Reports","id":"ITEM-2","issue":"1","issued":{"date-parts":[["2021"]]},"page":"17328","publisher":"Nature Publishing Group UK London","title":"Holiday gatherings, mobility and SARS-CoV-2 transmission: results from 10 US states following Thanksgiving","type":"article-journal","volume":"11"},"uris":["http://www.mendeley.com/documents/?uuid=49268661-6f98-4222-bb3e-1496cb972910"]}],"mendeley":{"formattedCitation":"(&lt;i&gt;21&lt;/i&gt;, &lt;i&gt;22&lt;/i&gt;)","plainTextFormattedCitation":"(21, 22)","previouslyFormattedCitation":"(&lt;i&gt;21&lt;/i&gt;, &lt;i&gt;22&lt;/i&gt;)"},"properties":{"noteIndex":0},"schema":"https://github.com/citation-style-language/schema/raw/master/csl-citation.json"}</w:instrText>
      </w:r>
      <w:r w:rsidR="00B91AEB">
        <w:fldChar w:fldCharType="separate"/>
      </w:r>
      <w:r w:rsidR="003A5A4F" w:rsidRPr="003A5A4F">
        <w:rPr>
          <w:noProof/>
        </w:rPr>
        <w:t>(</w:t>
      </w:r>
      <w:r w:rsidR="003A5A4F" w:rsidRPr="003A5A4F">
        <w:rPr>
          <w:i/>
          <w:noProof/>
        </w:rPr>
        <w:t>21</w:t>
      </w:r>
      <w:r w:rsidR="003A5A4F" w:rsidRPr="003A5A4F">
        <w:rPr>
          <w:noProof/>
        </w:rPr>
        <w:t xml:space="preserve">, </w:t>
      </w:r>
      <w:r w:rsidR="003A5A4F" w:rsidRPr="003A5A4F">
        <w:rPr>
          <w:i/>
          <w:noProof/>
        </w:rPr>
        <w:t>22</w:t>
      </w:r>
      <w:r w:rsidR="003A5A4F" w:rsidRPr="003A5A4F">
        <w:rPr>
          <w:noProof/>
        </w:rPr>
        <w:t>)</w:t>
      </w:r>
      <w:r w:rsidR="00B91AEB">
        <w:fldChar w:fldCharType="end"/>
      </w:r>
      <w:r w:rsidR="00B0688B">
        <w:t xml:space="preserve">. </w:t>
      </w:r>
      <w:r w:rsidR="005074AD">
        <w:t xml:space="preserve">The </w:t>
      </w:r>
      <w:r w:rsidR="00096955">
        <w:t>effect</w:t>
      </w:r>
      <w:r w:rsidR="005074AD">
        <w:t xml:space="preserve"> is a clear indication of the significant role of </w:t>
      </w:r>
      <w:r w:rsidR="00FD6CA3">
        <w:t>mobility</w:t>
      </w:r>
      <w:r w:rsidR="005074AD">
        <w:t xml:space="preserve"> on transmitting the virus within communities. </w:t>
      </w:r>
      <w:r w:rsidR="00B0688B">
        <w:t xml:space="preserve">However, the </w:t>
      </w:r>
      <w:r w:rsidR="005074AD">
        <w:t>effect</w:t>
      </w:r>
      <w:r w:rsidR="00B0688B">
        <w:t xml:space="preserve"> </w:t>
      </w:r>
      <w:r w:rsidR="005074AD">
        <w:t>is substantially different across different phases of the pandemic lending support to our hypothesis that the relationship between mobility and COVID-19 transmission varies over time. Specifically, the impact of mobility is more pronounced in the later phase of the pandemic (1</w:t>
      </w:r>
      <w:r w:rsidR="005074AD" w:rsidRPr="005074AD">
        <w:rPr>
          <w:vertAlign w:val="superscript"/>
        </w:rPr>
        <w:t>st</w:t>
      </w:r>
      <w:r w:rsidR="005074AD">
        <w:t xml:space="preserve"> and 2</w:t>
      </w:r>
      <w:r w:rsidR="005074AD" w:rsidRPr="005074AD">
        <w:rPr>
          <w:vertAlign w:val="superscript"/>
        </w:rPr>
        <w:t>nd</w:t>
      </w:r>
      <w:r w:rsidR="005074AD">
        <w:t xml:space="preserve"> wave) in comparison to the beginning of the pandemic. The results clearly highlights that </w:t>
      </w:r>
      <w:r w:rsidR="005074AD" w:rsidRPr="005074AD">
        <w:t>the impact of mobility on COVID-19 transmission is not constant but rather influenced by the specific phase of the pandemic, highlighting the importance of considering temporal dynamics in understanding the virus's spread.</w:t>
      </w:r>
    </w:p>
    <w:p w14:paraId="10A90A5D" w14:textId="77777777" w:rsidR="005074AD" w:rsidRDefault="005074AD" w:rsidP="00EB5197"/>
    <w:p w14:paraId="1422B332" w14:textId="148469F5" w:rsidR="000D2947" w:rsidRDefault="00FB4B05" w:rsidP="00EB5197">
      <w:r>
        <w:rPr>
          <w:u w:val="single"/>
        </w:rPr>
        <w:t>Health Care Infrastructure Attributes</w:t>
      </w:r>
      <w:r w:rsidR="00A03B08">
        <w:t xml:space="preserve">: </w:t>
      </w:r>
      <w:r w:rsidR="000D2947">
        <w:t xml:space="preserve">With respect to </w:t>
      </w:r>
      <w:r>
        <w:t>h</w:t>
      </w:r>
      <w:r w:rsidRPr="00FB4B05">
        <w:t xml:space="preserve">ealth </w:t>
      </w:r>
      <w:r>
        <w:t>c</w:t>
      </w:r>
      <w:r w:rsidRPr="00FB4B05">
        <w:t xml:space="preserve">are </w:t>
      </w:r>
      <w:r>
        <w:t>i</w:t>
      </w:r>
      <w:r w:rsidRPr="00FB4B05">
        <w:t xml:space="preserve">nfrastructure </w:t>
      </w:r>
      <w:r w:rsidR="000D2947">
        <w:t xml:space="preserve">related variables, we find that higher testing rate is </w:t>
      </w:r>
      <w:r w:rsidR="000D2947" w:rsidRPr="000D2947">
        <w:t>generally linked to</w:t>
      </w:r>
      <w:r w:rsidR="007A4626">
        <w:t xml:space="preserve"> </w:t>
      </w:r>
      <w:r w:rsidR="000D2947" w:rsidRPr="000D2947">
        <w:t xml:space="preserve">higher </w:t>
      </w:r>
      <w:r w:rsidR="000D2947">
        <w:t xml:space="preserve">COVID-19 </w:t>
      </w:r>
      <w:r w:rsidR="000D2947" w:rsidRPr="000D2947">
        <w:t>transmission</w:t>
      </w:r>
      <w:r w:rsidR="006478C7">
        <w:t xml:space="preserve"> </w:t>
      </w:r>
      <w:r w:rsidR="006478C7">
        <w:fldChar w:fldCharType="begin" w:fldLock="1"/>
      </w:r>
      <w:r w:rsidR="004968DA">
        <w:instrText>ADDIN CSL_CITATION {"citationItems":[{"id":"ITEM-1","itemData":{"DOI":"10.1016/j.amepre.2021.01.034","ISSN":"18732607","PMID":"33775513","abstract":"Introduction: The response to the COVID-19 pandemic became increasingly politicized in the U.S., and the political affiliation of state leaders may contribute to policies affecting the spread of the disease. This study examines the differences in COVID-19 infection, death, and testing by governor party affiliation across the 50 U.S. states and the District of Columbia. Methods: A longitudinal analysis was conducted in December 2020 examining COVID-19 incidence, death, testing, and test positivity rates from March 15, 2020 through December 15, 2020. A Bayesian negative binomial model was fit to estimate the daily risk ratios and posterior intervals comparing rates by gubernatorial party affiliation. The analyses adjusted for state population density, rurality, Census region, age, race, ethnicity, poverty, number of physicians, obesity, cardiovascular disease, asthma, smoking, and presidential voting in 2020. Results: From March 2020 to early June 2020, Republican-led states had lower COVID-19 incidence rates than Democratic-led states. On June 3, 2020, the association reversed, and Republican-led states had a higher incidence (risk ratio=1.10, 95% posterior interval=1.01, 1.18). This trend persisted through early December 2020. For death rates, Republican-led states had lower rates early in the pandemic but higher rates from July 4, 2020 (risk ratio=1.18, 95% posterior interval=1.02, 1.31) through mid-December 2020. Republican-led states had higher test positivity rates starting on May 30, 2020 (risk ratio=1.70, 95% posterior interval=1.66, 1.73) and lower testing rates by September 30, 2020 (risk ratio=0.95, 95% posterior interval=0.90, 0.98). Conclusions: Gubernatorial party affiliation may drive policy decisions that impact COVID-19 infections and deaths across the U.S. Future policy decisions should be guided by public health considerations rather than by political ideology.","author":[{"dropping-particle":"","family":"Neelon","given":"Brian","non-dropping-particle":"","parse-names":false,"suffix":""},{"dropping-particle":"","family":"Mutiso","given":"Fedelis","non-dropping-particle":"","parse-names":false,"suffix":""},{"dropping-particle":"","family":"Mueller","given":"Noel T.","non-dropping-particle":"","parse-names":false,"suffix":""},{"dropping-particle":"","family":"Pearce","given":"John L.","non-dropping-particle":"","parse-names":false,"suffix":""},{"dropping-particle":"","family":"Benjamin-Neelon","given":"Sara E.","non-dropping-particle":"","parse-names":false,"suffix":""}],"container-title":"American Journal of Preventive Medicine","id":"ITEM-1","issue":"1","issued":{"date-parts":[["2021"]]},"page":"115-119","publisher":"Elsevier","title":"Associations Between Governor Political Affiliation and COVID-19 Cases, Deaths, and Testing in the U.S.","type":"article-journal","volume":"61"},"uris":["http://www.mendeley.com/documents/?uuid=585f23b6-84b7-4081-9595-a7553c285a55"]},{"id":"ITEM-2","itemData":{"DOI":"10.1038/s41598-021-02376-y","ISSN":"20452322","PMID":"34845301","abstract":"The sustained COVID-19 case numbers and the associated hospitalizations have placed a substantial burden on health care ecosystem comprising of hospitals, clinics, doctors and nurses. However, as of today, only a small number of studies have examined detailed hospitalization data from a planning perspective. The current study develops a comprehensive framework for understanding the critical factors associated with county level hospitalization and ICU usage rates across the US employing a host of independent variables. Drawing from the recently released Department of Health and Human Services weekly hospitalization data, we study the overall hospitalization and ICU usage—not only COVID-19 hospitalizations. Developing a framework that examines overall hospitalizations and ICU usage can better reflect the plausible hospital system recovery path to pre-COVID level hospitalization trends. The models are subsequently employed to generate predictions for county level hospitalization and ICU usage rates in the future under several COVID-19 transmission scenarios considering the emergence of new COVID-19 variants and vaccination rates. The exercise allows us to identify vulnerable counties and regions under stress with high hospitalization and ICU rates that can be assisted with remedial measures. Further, the model will allow hospitals to understand evolving displaced non-COVID hospital demand.","author":[{"dropping-particle":"","family":"Bhowmik","given":"Tanmoy","non-dropping-particle":"","parse-names":false,"suffix":""},{"dropping-particle":"","family":"Eluru","given":"Naveen","non-dropping-particle":"","parse-names":false,"suffix":""}],"container-title":"Scientific Reports","id":"ITEM-2","issue":"1","issued":{"date-parts":[["2021"]]},"page":"23098","publisher":"Nature Publishing Group UK London","title":"A comprehensive county level model to identify factors affecting hospital capacity and predict future hospital demand","type":"article-journal","volume":"11"},"uris":["http://www.mendeley.com/documents/?uuid=c2aa1ab9-3b4f-4585-b5dd-e8395b5e121c"]}],"mendeley":{"formattedCitation":"(&lt;i&gt;19&lt;/i&gt;, &lt;i&gt;23&lt;/i&gt;)","plainTextFormattedCitation":"(19, 23)","previouslyFormattedCitation":"(&lt;i&gt;19&lt;/i&gt;, &lt;i&gt;23&lt;/i&gt;)"},"properties":{"noteIndex":0},"schema":"https://github.com/citation-style-language/schema/raw/master/csl-citation.json"}</w:instrText>
      </w:r>
      <w:r w:rsidR="006478C7">
        <w:fldChar w:fldCharType="separate"/>
      </w:r>
      <w:r w:rsidR="003A5A4F" w:rsidRPr="003A5A4F">
        <w:rPr>
          <w:noProof/>
        </w:rPr>
        <w:t>(</w:t>
      </w:r>
      <w:r w:rsidR="003A5A4F" w:rsidRPr="003A5A4F">
        <w:rPr>
          <w:i/>
          <w:noProof/>
        </w:rPr>
        <w:t>19</w:t>
      </w:r>
      <w:r w:rsidR="003A5A4F" w:rsidRPr="003A5A4F">
        <w:rPr>
          <w:noProof/>
        </w:rPr>
        <w:t xml:space="preserve">, </w:t>
      </w:r>
      <w:r w:rsidR="003A5A4F" w:rsidRPr="003A5A4F">
        <w:rPr>
          <w:i/>
          <w:noProof/>
        </w:rPr>
        <w:t>23</w:t>
      </w:r>
      <w:r w:rsidR="003A5A4F" w:rsidRPr="003A5A4F">
        <w:rPr>
          <w:noProof/>
        </w:rPr>
        <w:t>)</w:t>
      </w:r>
      <w:r w:rsidR="006478C7">
        <w:fldChar w:fldCharType="end"/>
      </w:r>
      <w:r w:rsidR="000D2947">
        <w:t xml:space="preserve">. </w:t>
      </w:r>
      <w:r w:rsidR="00B3546B">
        <w:t>The finding is intuitively understandable as h</w:t>
      </w:r>
      <w:r w:rsidR="00540F55">
        <w:t xml:space="preserve">igher testing efforts lead to increased identification of COVID cases. </w:t>
      </w:r>
      <w:r w:rsidR="00D925E1">
        <w:t xml:space="preserve">In absence of adequate testing, individuals with mild symptoms are deterred from testing themselves due to long wait times. </w:t>
      </w:r>
    </w:p>
    <w:p w14:paraId="7CDCBC68" w14:textId="77777777" w:rsidR="00A03B08" w:rsidRDefault="00A03B08" w:rsidP="00EB5197"/>
    <w:p w14:paraId="50CE2609" w14:textId="5DEFB953" w:rsidR="004505F1" w:rsidRDefault="0028123A" w:rsidP="00EB5197">
      <w:r>
        <w:rPr>
          <w:u w:val="single"/>
        </w:rPr>
        <w:t>Socio-d</w:t>
      </w:r>
      <w:r w:rsidR="00A03B08" w:rsidRPr="00A03B08">
        <w:rPr>
          <w:u w:val="single"/>
        </w:rPr>
        <w:t>emographics</w:t>
      </w:r>
      <w:r w:rsidR="00A03B08">
        <w:t xml:space="preserve">: </w:t>
      </w:r>
      <w:r w:rsidR="00DE5C50">
        <w:t>Among</w:t>
      </w:r>
      <w:r w:rsidR="00540F55" w:rsidRPr="00540F55">
        <w:t xml:space="preserve"> socio-demographic variables, we find several attributes to have a significant impact on the COVID-19 </w:t>
      </w:r>
      <w:r w:rsidR="00540F55">
        <w:t>transmission</w:t>
      </w:r>
      <w:r w:rsidR="00540F55" w:rsidRPr="00540F55">
        <w:t xml:space="preserve"> rate</w:t>
      </w:r>
      <w:r w:rsidR="00540F55">
        <w:t xml:space="preserve">. </w:t>
      </w:r>
      <w:r>
        <w:t>C</w:t>
      </w:r>
      <w:r w:rsidR="00540F55">
        <w:t xml:space="preserve">ounties with </w:t>
      </w:r>
      <w:r>
        <w:t xml:space="preserve">higher share of </w:t>
      </w:r>
      <w:r w:rsidR="00540F55">
        <w:t xml:space="preserve">young people </w:t>
      </w:r>
      <w:r>
        <w:t xml:space="preserve">are </w:t>
      </w:r>
      <w:r w:rsidR="00540F55">
        <w:t xml:space="preserve">likely </w:t>
      </w:r>
      <w:r w:rsidR="00540F55" w:rsidRPr="00540F55">
        <w:t xml:space="preserve">to report </w:t>
      </w:r>
      <w:r>
        <w:t xml:space="preserve">an </w:t>
      </w:r>
      <w:r w:rsidR="00540F55" w:rsidRPr="00540F55">
        <w:t>increased incidence of COVID-</w:t>
      </w:r>
      <w:r w:rsidR="00540F55">
        <w:t xml:space="preserve">19 </w:t>
      </w:r>
      <w:r w:rsidR="00DE5C50">
        <w:t xml:space="preserve">cases </w:t>
      </w:r>
      <w:r w:rsidR="00540F55">
        <w:t xml:space="preserve">while </w:t>
      </w:r>
      <w:r>
        <w:t xml:space="preserve">a larger </w:t>
      </w:r>
      <w:r w:rsidR="00540F55">
        <w:t>percentage of senior people in the county</w:t>
      </w:r>
      <w:r>
        <w:t xml:space="preserve"> is </w:t>
      </w:r>
      <w:r w:rsidR="00540F55">
        <w:t>negative</w:t>
      </w:r>
      <w:r>
        <w:t>ly</w:t>
      </w:r>
      <w:r w:rsidR="00540F55">
        <w:t xml:space="preserve"> associat</w:t>
      </w:r>
      <w:r>
        <w:t>ed</w:t>
      </w:r>
      <w:r w:rsidR="00540F55">
        <w:t xml:space="preserve"> with the transmission rate</w:t>
      </w:r>
      <w:r w:rsidR="0088176A">
        <w:t xml:space="preserve"> </w:t>
      </w:r>
      <w:r w:rsidR="0088176A">
        <w:fldChar w:fldCharType="begin" w:fldLock="1"/>
      </w:r>
      <w:r w:rsidR="004968DA">
        <w:instrText>ADDIN CSL_CITATION {"citationItems":[{"id":"ITEM-1","itemData":{"DOI":"10.1371/journal.pone.0249133","ISSN":"19326203","PMID":"33793611","abstract":"Background Several research efforts have evaluated the impact of various factors including a) socio-demographics, (b) health indicators, (c) mobility trends, and (d) health care infrastructure attributes on COVID-19 transmission and mortality rate. However, earlier research focused only on a subset of variable groups (predominantly one or two) that can contribute to the COVID-19 transmission/mortality rate. The current study effort is designed to remedy this by analyzing COVID-19 transmission/mortality rates considering a comprehensive set of factors in a unified framework. Methods and findings We study two per capita dependent variables: (1) daily COVID-19 transmission rates and (2) total COVID-19 mortality rates. The first variable is modeled using a linear mixed model while the later dimension is analyzed using a linear regression approach. The model results are augmented with a sensitivity analysis to predict the impact of mobility restrictions at a county level. Several county level factors including proportion of African-Americans, income inequality, health indicators associated with Asthma, Cancer, HIV and heart disease, percentage of stay at home individuals, testing infrastructure and Intensive Care Unit capacity impact transmission and/or mortality rates. From the policy analysis, we find that enforcing a stay at home order that can ensure a 50% stay at home rate can result in a potential reduction of about 33% in daily cases. Conclusions The model framework developed can be employed by government agencies to evaluate the influence of reduced mobility on transmission rates at a county level while accommodating for various county specific factors. Based on our policy analysis, the study findings support a county level stay at home order for regions currently experiencing a surge in transmission. The model framework can also be employed to identify vulnerable counties that need to be prioritized based on health indicators for current support and/or preferential vaccination plans (when available).","author":[{"dropping-particle":"","family":"Bhowmik","given":"Tanmoy","non-dropping-particle":"","parse-names":false,"suffix":""},{"dropping-particle":"","family":"Tirtha","given":"Sudipta Dey","non-dropping-particle":"","parse-names":false,"suffix":""},{"dropping-particle":"","family":"Iraganaboina","given":"Naveen Chandra","non-dropping-particle":"","parse-names":false,"suffix":""},{"dropping-particle":"","family":"Eluru","given":"Naveen","non-dropping-particle":"","parse-names":false,"suffix":""}],"container-title":"PLoS ONE","id":"ITEM-1","issue":"4 April","issued":{"date-parts":[["2021"]]},"title":"A comprehensive analysis of COVID-19 transmission and mortality rates at the county level in the United States considering socio-demographics, health indicators, mobility trends and health care infrastructure attributes","type":"article-journal","volume":"16"},"uris":["http://www.mendeley.com/documents/?uuid=f351c73a-be65-3c50-8c60-c2e9ac1a09ce"]}],"mendeley":{"formattedCitation":"(&lt;i&gt;20&lt;/i&gt;)","plainTextFormattedCitation":"(20)","previouslyFormattedCitation":"(&lt;i&gt;20&lt;/i&gt;)"},"properties":{"noteIndex":0},"schema":"https://github.com/citation-style-language/schema/raw/master/csl-citation.json"}</w:instrText>
      </w:r>
      <w:r w:rsidR="0088176A">
        <w:fldChar w:fldCharType="separate"/>
      </w:r>
      <w:r w:rsidR="003A5A4F" w:rsidRPr="003A5A4F">
        <w:rPr>
          <w:noProof/>
        </w:rPr>
        <w:t>(</w:t>
      </w:r>
      <w:r w:rsidR="003A5A4F" w:rsidRPr="003A5A4F">
        <w:rPr>
          <w:i/>
          <w:noProof/>
        </w:rPr>
        <w:t>20</w:t>
      </w:r>
      <w:r w:rsidR="003A5A4F" w:rsidRPr="003A5A4F">
        <w:rPr>
          <w:noProof/>
        </w:rPr>
        <w:t>)</w:t>
      </w:r>
      <w:r w:rsidR="0088176A">
        <w:fldChar w:fldCharType="end"/>
      </w:r>
      <w:r w:rsidR="00540F55">
        <w:t xml:space="preserve">.  </w:t>
      </w:r>
      <w:r w:rsidR="006D756D">
        <w:t xml:space="preserve">The results </w:t>
      </w:r>
      <w:r>
        <w:t>follow</w:t>
      </w:r>
      <w:r w:rsidR="006D756D">
        <w:t xml:space="preserve"> expected trends as young people are likely to engage more in social gatherings while senior</w:t>
      </w:r>
      <w:r w:rsidR="00C73A41">
        <w:t>s</w:t>
      </w:r>
      <w:r w:rsidR="006D756D">
        <w:t xml:space="preserve"> are more cautious and follow preventive measures. Further, </w:t>
      </w:r>
      <w:r w:rsidR="00B24BAD">
        <w:t>the results indicate</w:t>
      </w:r>
      <w:r w:rsidR="004609FA">
        <w:t xml:space="preserve"> that</w:t>
      </w:r>
      <w:r w:rsidR="00B24BAD">
        <w:t xml:space="preserve"> a higher share </w:t>
      </w:r>
      <w:r w:rsidR="004609FA">
        <w:t xml:space="preserve">of African-American, Hispanic and female population in a county contributes positively </w:t>
      </w:r>
      <w:r w:rsidR="00560B50">
        <w:t xml:space="preserve">to </w:t>
      </w:r>
      <w:r w:rsidR="004609FA">
        <w:t xml:space="preserve">COVID-19 transmission. </w:t>
      </w:r>
      <w:r w:rsidR="002949A2">
        <w:t xml:space="preserve">The findings are </w:t>
      </w:r>
      <w:r w:rsidR="00A33769">
        <w:t xml:space="preserve">consistent with </w:t>
      </w:r>
      <w:r w:rsidR="000C4118">
        <w:t xml:space="preserve">findings from </w:t>
      </w:r>
      <w:r w:rsidR="00A33769">
        <w:t>previous research</w:t>
      </w:r>
      <w:r w:rsidR="00514FD1">
        <w:t xml:space="preserve"> </w:t>
      </w:r>
      <w:r w:rsidR="00514FD1">
        <w:fldChar w:fldCharType="begin" w:fldLock="1"/>
      </w:r>
      <w:r w:rsidR="004968DA">
        <w:instrText>ADDIN CSL_CITATION {"citationItems":[{"id":"ITEM-1","itemData":{"DOI":"10.1101/2020.05.06.20093195","abstract":"Introduction With the pandemic of COVID-19, the number of confirmed cases and related deaths are increasing in the US. We aimed to understand the potential impact of health and demographic factors on the infection and mortality rates of COVID-19 at the population level. Methods We collected total number of confirmed cases and deaths related to COVID-19 at the county level in the US from January 21, 2020 to April 23, 2020. We extracted health and demographic measures for each US county. Multivariable linear mixed effects models were used to investigate potential correlations of health and demographic characteristics with the infection and mortality rates of COVID-19 in US counties. Results Our models showed that several health and demographic factors were positively correlated with the infection rate of COVID-19, such as low education level and percentage of Black. In contrast, several factors, including percentage of smokers and percentage of food insecure, were negatively correlated with the infection rate of COVID-19. While the number of days since first confirmed case and the infection rate of COVID-19 were negatively correlated with the mortality rate of COVID-19, percentage of elders (65 and above) and percentage of rural were positively correlated with the mortality rate of COVID-19. Conclusions At the population level, health and demographic factors could impact the infection and mortality rates of COVID-19 in US counties. ### Competing Interest Statement The authors have declared no competing interest. ### Funding Statement No external funding was received ### Author Declarations All relevant ethical guidelines have been followed; any necessary IRB and/or ethics committee approvals have been obtained and details of the IRB/oversight body are included in the manuscript. Yes All necessary patient/participant consent has been obtained and the appropriate institutional forms have been archived. Yes 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 Yes I have followed all appropriate research reporting guidelines and uploaded the relevant EQUATOR Net…","author":[{"dropping-particle":"","family":"Xie","given":"Zidian","non-dropping-particle":"","parse-names":false,"suffix":""},{"dropping-particle":"","family":"Li","given":"Dongmei","non-dropping-particle":"","parse-names":false,"suffix":""}],"container-title":"medRxiv","id":"ITEM-1","issued":{"date-parts":[["2020"]]},"number-of-pages":"2020.05.06.20093195","title":"Health and Demographic Impact on COVID-19 Infection and Mortality in US Counties","type":"report"},"uris":["http://www.mendeley.com/documents/?uuid=e62afcb2-40df-49a6-b595-cf8232d2f05d"]},{"id":"ITEM-2","itemData":{"DOI":"10.1016/j.scitotenv.2020.138884","ISSN":"18791026","PMID":"32335404","abstract":"During the first 90 days of the COVID-19 outbreak in the United States, over 675,000 confirmed cases of the disease have been reported, posing unprecedented socioeconomic burden to the country. Due to inadequate research on geographic modeling of COVID-19, we investigated county-level variations of disease incidence across the continental United States. We compiled a geodatabase of 35 environmental, socioeconomic, topographic, and demographic variables that could explain the spatial variability of disease incidence. Further, we employed spatial lag and spatial error models to investigate spatial dependence and geographically weighted regression (GWR) and multiscale GWR (MGWR) models to locally examine spatial non-stationarity. The results suggested that even though incorporating spatial autocorrelation could significantly improve the performance of the global ordinary least square model, these models still represent a significantly poor performance compared to the local models. Moreover, MGWR could explain the highest variations (adj. R2: 68.1%) with the lowest AICc compared to the others. Mapping the effects of significant explanatory variables (i.e., income inequality, median household income, the proportion of black females, and the proportion of nurse practitioners) on spatial variability of COVID-19 incidence rates using MGWR could provide useful insights to policymakers for targeted interventions.","author":[{"dropping-particle":"","family":"Mollalo","given":"Abolfazl","non-dropping-particle":"","parse-names":false,"suffix":""},{"dropping-particle":"","family":"Vahedi","given":"Behzad","non-dropping-particle":"","parse-names":false,"suffix":""},{"dropping-particle":"","family":"Rivera","given":"Kiara M.","non-dropping-particle":"","parse-names":false,"suffix":""}],"container-title":"Science of the Total Environment","id":"ITEM-2","issued":{"date-parts":[["2020"]]},"title":"GIS-based spatial modeling of COVID-19 incidence rate in the continental United States","type":"article-journal","volume":"728"},"uris":["http://www.mendeley.com/documents/?uuid=d99632f4-ba5e-46b5-b9a2-0081b642bf92"]},{"id":"ITEM-3","itemData":{"DOI":"10.2139/ssrn.3572329","ISSN":"1556-5068","abstract":"New York City is the hot spot of the COVID-19 pandemic in the United States. This paper merges information on the number of tests and the number of infections at the New York City zip code level with demographic and socioeconomic information from the decennial census and the American Community Surveys. People residing in poor or immigrant neighborhoods were less likely to be tested; but the likelihood that a test was positive was larger in those neighborhoods, as well as in neighborhoods with larger households or predominantly black populations. The rate of infection in the population depends on both the frequency of tests and on the fraction of positive tests among those tested. The non-randomness in testing across New York City neighborhoods indicates that the observed correlation between the rate of infection and the socioeconomic characteristics of a community tells an incomplete story of how the pandemic evolved in a congested urban setting.","author":[{"dropping-particle":"","family":"Borjas","given":"George J.","non-dropping-particle":"","parse-names":false,"suffix":""}],"container-title":"SSRN Electronic Journal","id":"ITEM-3","issued":{"date-parts":[["2020"]]},"title":"Demographic Determinants of Testing Incidence and COVID-19 Infections in New York City Neighborhoods","type":"article-journal"},"uris":["http://www.mendeley.com/documents/?uuid=e78151db-de16-4210-946a-01ab30a8b8e1"]}],"mendeley":{"formattedCitation":"(&lt;i&gt;24&lt;/i&gt;–&lt;i&gt;26&lt;/i&gt;)","plainTextFormattedCitation":"(24–26)","previouslyFormattedCitation":"(&lt;i&gt;24&lt;/i&gt;–&lt;i&gt;26&lt;/i&gt;)"},"properties":{"noteIndex":0},"schema":"https://github.com/citation-style-language/schema/raw/master/csl-citation.json"}</w:instrText>
      </w:r>
      <w:r w:rsidR="00514FD1">
        <w:fldChar w:fldCharType="separate"/>
      </w:r>
      <w:r w:rsidR="003A5A4F" w:rsidRPr="003A5A4F">
        <w:rPr>
          <w:noProof/>
        </w:rPr>
        <w:t>(</w:t>
      </w:r>
      <w:r w:rsidR="003A5A4F" w:rsidRPr="003A5A4F">
        <w:rPr>
          <w:i/>
          <w:noProof/>
        </w:rPr>
        <w:t>24</w:t>
      </w:r>
      <w:r w:rsidR="003A5A4F" w:rsidRPr="003A5A4F">
        <w:rPr>
          <w:noProof/>
        </w:rPr>
        <w:t>–</w:t>
      </w:r>
      <w:r w:rsidR="003A5A4F" w:rsidRPr="003A5A4F">
        <w:rPr>
          <w:i/>
          <w:noProof/>
        </w:rPr>
        <w:t>26</w:t>
      </w:r>
      <w:r w:rsidR="003A5A4F" w:rsidRPr="003A5A4F">
        <w:rPr>
          <w:noProof/>
        </w:rPr>
        <w:t>)</w:t>
      </w:r>
      <w:r w:rsidR="00514FD1">
        <w:fldChar w:fldCharType="end"/>
      </w:r>
      <w:r w:rsidR="00A33769">
        <w:t xml:space="preserve">. </w:t>
      </w:r>
    </w:p>
    <w:p w14:paraId="6277C3F5" w14:textId="77777777" w:rsidR="00A03B08" w:rsidRDefault="00A03B08" w:rsidP="00EB5197">
      <w:pPr>
        <w:rPr>
          <w:u w:val="single"/>
        </w:rPr>
      </w:pPr>
    </w:p>
    <w:p w14:paraId="09732B65" w14:textId="456D94B5" w:rsidR="00A05B90" w:rsidRDefault="00A03B08" w:rsidP="00EB5197">
      <w:r w:rsidRPr="00A03B08">
        <w:rPr>
          <w:u w:val="single"/>
        </w:rPr>
        <w:t>Health Indicators</w:t>
      </w:r>
      <w:r>
        <w:t xml:space="preserve">: </w:t>
      </w:r>
      <w:r w:rsidR="007A31A8">
        <w:t xml:space="preserve">Several health indicators were considered in the model (see Table 1). </w:t>
      </w:r>
      <w:r w:rsidR="004609FA">
        <w:t xml:space="preserve">The parameters of health indicator variables underscore their importance on understanding the COVID-19 transmission. </w:t>
      </w:r>
      <w:r w:rsidR="00457C39">
        <w:t>Our results indicat</w:t>
      </w:r>
      <w:r w:rsidR="00D375D5">
        <w:t xml:space="preserve">e that counties with </w:t>
      </w:r>
      <w:r w:rsidR="00C15B69">
        <w:t>a greater</w:t>
      </w:r>
      <w:r w:rsidR="00D375D5">
        <w:t xml:space="preserve"> number of HIV and Hepatitis C patients are likely to experience higher COVID-19 transmission rates. Th</w:t>
      </w:r>
      <w:r w:rsidR="000A561D">
        <w:t xml:space="preserve">e results are intuitive </w:t>
      </w:r>
      <w:r w:rsidR="007F7520">
        <w:t>because</w:t>
      </w:r>
      <w:r w:rsidR="00D375D5">
        <w:t xml:space="preserve"> </w:t>
      </w:r>
      <w:r w:rsidR="000A561D">
        <w:t xml:space="preserve">individuals </w:t>
      </w:r>
      <w:r w:rsidR="00D375D5">
        <w:t>with such condition</w:t>
      </w:r>
      <w:r w:rsidR="000A561D">
        <w:t>s</w:t>
      </w:r>
      <w:r w:rsidR="00D375D5">
        <w:t xml:space="preserve"> have </w:t>
      </w:r>
      <w:r w:rsidR="000A561D">
        <w:t xml:space="preserve">a </w:t>
      </w:r>
      <w:r w:rsidR="00D375D5">
        <w:t xml:space="preserve">compromised immune system </w:t>
      </w:r>
      <w:r w:rsidR="000A561D">
        <w:t xml:space="preserve">and are </w:t>
      </w:r>
      <w:r w:rsidR="00693282">
        <w:t xml:space="preserve">more </w:t>
      </w:r>
      <w:r w:rsidR="00D375D5">
        <w:t xml:space="preserve">susceptible </w:t>
      </w:r>
      <w:r w:rsidR="00D375D5" w:rsidRPr="00D375D5">
        <w:t>to contracting and transmitting COVID</w:t>
      </w:r>
      <w:r w:rsidR="00D375D5">
        <w:t xml:space="preserve">. </w:t>
      </w:r>
    </w:p>
    <w:p w14:paraId="554D61CD" w14:textId="77777777" w:rsidR="00A03B08" w:rsidRDefault="00A03B08" w:rsidP="00EB5197">
      <w:pPr>
        <w:rPr>
          <w:u w:val="single"/>
        </w:rPr>
      </w:pPr>
    </w:p>
    <w:p w14:paraId="65F73484" w14:textId="4D8C9185" w:rsidR="00D375D5" w:rsidRDefault="00A03B08" w:rsidP="00EB5197">
      <w:r w:rsidRPr="00A03B08">
        <w:rPr>
          <w:u w:val="single"/>
        </w:rPr>
        <w:t>Spatial Factors</w:t>
      </w:r>
      <w:r>
        <w:t xml:space="preserve">: </w:t>
      </w:r>
      <w:r w:rsidR="00D375D5">
        <w:t xml:space="preserve">The final variable group </w:t>
      </w:r>
      <w:r w:rsidR="00D24237">
        <w:t xml:space="preserve">considered in our model </w:t>
      </w:r>
      <w:r w:rsidR="00D375D5">
        <w:t xml:space="preserve">correspond to spatial factors including variables related to tourism, </w:t>
      </w:r>
      <w:r w:rsidR="00D375D5" w:rsidRPr="00D375D5">
        <w:t>regional location, and airport density</w:t>
      </w:r>
      <w:r w:rsidR="00D375D5">
        <w:t xml:space="preserve">. </w:t>
      </w:r>
      <w:r w:rsidR="00D24237">
        <w:t>W</w:t>
      </w:r>
      <w:r w:rsidR="00B93C4F" w:rsidRPr="00B93C4F">
        <w:t xml:space="preserve">e considered the tourism status of the state in our analysis by identifying the top and bottom 10 desirable states with respect to tourism activity. </w:t>
      </w:r>
      <w:r w:rsidR="00D24237">
        <w:t>The counties were allocated to Top</w:t>
      </w:r>
      <w:r w:rsidR="003406A6">
        <w:t xml:space="preserve"> and bottom 10 tourism status based on their respective state ranking. </w:t>
      </w:r>
      <w:r w:rsidR="00B93C4F" w:rsidRPr="00B93C4F">
        <w:t xml:space="preserve">As expected, we find a </w:t>
      </w:r>
      <w:r w:rsidR="00B93C4F">
        <w:t>negative</w:t>
      </w:r>
      <w:r w:rsidR="00B93C4F" w:rsidRPr="00B93C4F">
        <w:t xml:space="preserve"> effect of the </w:t>
      </w:r>
      <w:r w:rsidR="00B93C4F">
        <w:t>bottom</w:t>
      </w:r>
      <w:r w:rsidR="00B93C4F" w:rsidRPr="00B93C4F">
        <w:t xml:space="preserve"> 10 tourist attraction state</w:t>
      </w:r>
      <w:r w:rsidR="003406A6">
        <w:t>s</w:t>
      </w:r>
      <w:r w:rsidR="00B93C4F" w:rsidRPr="00B93C4F">
        <w:t xml:space="preserve"> on COVID </w:t>
      </w:r>
      <w:r w:rsidR="00B93C4F">
        <w:t>transmission</w:t>
      </w:r>
      <w:r w:rsidR="00B93C4F" w:rsidRPr="00B93C4F">
        <w:t xml:space="preserve"> rate</w:t>
      </w:r>
      <w:r w:rsidR="000106E1">
        <w:t xml:space="preserve">. The result might be indicative of </w:t>
      </w:r>
      <w:r w:rsidR="00ED7A25">
        <w:t>reduced</w:t>
      </w:r>
      <w:r w:rsidR="00B93C4F">
        <w:t xml:space="preserve"> travel activity</w:t>
      </w:r>
      <w:r w:rsidR="000106E1">
        <w:t xml:space="preserve"> in such regions</w:t>
      </w:r>
      <w:r w:rsidR="00B93C4F" w:rsidRPr="00B93C4F">
        <w:t>.</w:t>
      </w:r>
      <w:r w:rsidR="00B93C4F">
        <w:t xml:space="preserve"> </w:t>
      </w:r>
      <w:r w:rsidR="003406A6">
        <w:t>In terms of</w:t>
      </w:r>
      <w:r w:rsidR="00B93C4F">
        <w:t xml:space="preserve"> regional location, we find higher COVID-19 incidence </w:t>
      </w:r>
      <w:r w:rsidR="00ED7A25">
        <w:t>in the</w:t>
      </w:r>
      <w:r w:rsidR="00B93C4F">
        <w:t xml:space="preserve"> South and mid-west region</w:t>
      </w:r>
      <w:r w:rsidR="003E0D4A">
        <w:t>s</w:t>
      </w:r>
      <w:r w:rsidR="00B93C4F">
        <w:t xml:space="preserve">. </w:t>
      </w:r>
      <w:r w:rsidR="00693818">
        <w:t xml:space="preserve">A possible explanation for these effects is probably related to the population density and variation of public health measures in such areas. </w:t>
      </w:r>
      <w:r w:rsidR="00B93C4F">
        <w:t xml:space="preserve">Finally, the </w:t>
      </w:r>
      <w:r w:rsidR="00693818">
        <w:t xml:space="preserve">parameter regarding </w:t>
      </w:r>
      <w:r w:rsidR="00B93C4F">
        <w:t xml:space="preserve">the number of airports </w:t>
      </w:r>
      <w:r w:rsidR="00693818">
        <w:t xml:space="preserve">suggests that areas with more airports are likely to experience higher incidence of COVID cases, perhaps indicative of the </w:t>
      </w:r>
      <w:r w:rsidR="00693818" w:rsidRPr="00B93C4F">
        <w:t>increased travel and higher exposure</w:t>
      </w:r>
      <w:r w:rsidR="00693818">
        <w:t xml:space="preserve"> in those locations</w:t>
      </w:r>
      <w:r w:rsidR="001B1FD9">
        <w:t xml:space="preserve"> </w:t>
      </w:r>
      <w:r w:rsidR="001B1FD9">
        <w:fldChar w:fldCharType="begin" w:fldLock="1"/>
      </w:r>
      <w:r w:rsidR="004968DA">
        <w:instrText>ADDIN CSL_CITATION {"citationItems":[{"id":"ITEM-1","itemData":{"DOI":"10.1038/s41598-021-02376-y","ISSN":"20452322","PMID":"34845301","abstract":"The sustained COVID-19 case numbers and the associated hospitalizations have placed a substantial burden on health care ecosystem comprising of hospitals, clinics, doctors and nurses. However, as of today, only a small number of studies have examined detailed hospitalization data from a planning perspective. The current study develops a comprehensive framework for understanding the critical factors associated with county level hospitalization and ICU usage rates across the US employing a host of independent variables. Drawing from the recently released Department of Health and Human Services weekly hospitalization data, we study the overall hospitalization and ICU usage—not only COVID-19 hospitalizations. Developing a framework that examines overall hospitalizations and ICU usage can better reflect the plausible hospital system recovery path to pre-COVID level hospitalization trends. The models are subsequently employed to generate predictions for county level hospitalization and ICU usage rates in the future under several COVID-19 transmission scenarios considering the emergence of new COVID-19 variants and vaccination rates. The exercise allows us to identify vulnerable counties and regions under stress with high hospitalization and ICU rates that can be assisted with remedial measures. Further, the model will allow hospitals to understand evolving displaced non-COVID hospital demand.","author":[{"dropping-particle":"","family":"Bhowmik","given":"Tanmoy","non-dropping-particle":"","parse-names":false,"suffix":""},{"dropping-particle":"","family":"Eluru","given":"Naveen","non-dropping-particle":"","parse-names":false,"suffix":""}],"container-title":"Scientific Reports","id":"ITEM-1","issue":"1","issued":{"date-parts":[["2021"]]},"page":"23098","publisher":"Nature Publishing Group UK London","title":"A comprehensive county level model to identify factors affecting hospital capacity and predict future hospital demand","type":"article-journal","volume":"11"},"uris":["http://www.mendeley.com/documents/?uuid=c2aa1ab9-3b4f-4585-b5dd-e8395b5e121c"]}],"mendeley":{"formattedCitation":"(&lt;i&gt;19&lt;/i&gt;)","plainTextFormattedCitation":"(19)","previouslyFormattedCitation":"(&lt;i&gt;19&lt;/i&gt;)"},"properties":{"noteIndex":0},"schema":"https://github.com/citation-style-language/schema/raw/master/csl-citation.json"}</w:instrText>
      </w:r>
      <w:r w:rsidR="001B1FD9">
        <w:fldChar w:fldCharType="separate"/>
      </w:r>
      <w:r w:rsidR="003A5A4F" w:rsidRPr="003A5A4F">
        <w:rPr>
          <w:noProof/>
        </w:rPr>
        <w:t>(</w:t>
      </w:r>
      <w:r w:rsidR="003A5A4F" w:rsidRPr="003A5A4F">
        <w:rPr>
          <w:i/>
          <w:noProof/>
        </w:rPr>
        <w:t>19</w:t>
      </w:r>
      <w:r w:rsidR="003A5A4F" w:rsidRPr="003A5A4F">
        <w:rPr>
          <w:noProof/>
        </w:rPr>
        <w:t>)</w:t>
      </w:r>
      <w:r w:rsidR="001B1FD9">
        <w:fldChar w:fldCharType="end"/>
      </w:r>
      <w:r w:rsidR="00693818">
        <w:t xml:space="preserve">. </w:t>
      </w:r>
    </w:p>
    <w:p w14:paraId="31D887A5" w14:textId="77777777" w:rsidR="000504F4" w:rsidRDefault="000504F4" w:rsidP="00EB5197">
      <w:pPr>
        <w:pStyle w:val="ListParagraph"/>
      </w:pPr>
    </w:p>
    <w:p w14:paraId="6065D474" w14:textId="2E4CB495" w:rsidR="000504F4" w:rsidRDefault="000504F4" w:rsidP="00EB5197">
      <w:pPr>
        <w:pStyle w:val="Heading3"/>
      </w:pPr>
      <w:r>
        <w:t>Mobility Model</w:t>
      </w:r>
    </w:p>
    <w:p w14:paraId="39B9D766" w14:textId="589781C8" w:rsidR="00991168" w:rsidRDefault="0009594C" w:rsidP="00EB5197">
      <w:r w:rsidRPr="00A03B08">
        <w:rPr>
          <w:u w:val="single"/>
        </w:rPr>
        <w:t>Constant</w:t>
      </w:r>
      <w:r>
        <w:t xml:space="preserve">: </w:t>
      </w:r>
      <w:r w:rsidR="00C81858">
        <w:t>T</w:t>
      </w:r>
      <w:r w:rsidRPr="00B03DD4">
        <w:t xml:space="preserve">he </w:t>
      </w:r>
      <w:r>
        <w:t>constant</w:t>
      </w:r>
      <w:r w:rsidRPr="00B03DD4">
        <w:t xml:space="preserve"> does not have any substantive interpretation after </w:t>
      </w:r>
      <w:r w:rsidR="000E57A4">
        <w:t>including</w:t>
      </w:r>
      <w:r w:rsidRPr="00B03DD4">
        <w:t xml:space="preserve"> other independent variables</w:t>
      </w:r>
    </w:p>
    <w:p w14:paraId="25C35595" w14:textId="77777777" w:rsidR="0009594C" w:rsidRDefault="0009594C" w:rsidP="00EB5197">
      <w:pPr>
        <w:rPr>
          <w:u w:val="single"/>
        </w:rPr>
      </w:pPr>
    </w:p>
    <w:p w14:paraId="4D800967" w14:textId="4F611DA8" w:rsidR="00CA7A8D" w:rsidRDefault="0009594C" w:rsidP="00EB5197">
      <w:r w:rsidRPr="00A03B08">
        <w:rPr>
          <w:u w:val="single"/>
        </w:rPr>
        <w:t>Temporal Factors</w:t>
      </w:r>
      <w:r>
        <w:t xml:space="preserve">: </w:t>
      </w:r>
      <w:r w:rsidR="00C81858">
        <w:t>As described in the COVID model results section</w:t>
      </w:r>
      <w:r w:rsidR="00803AD7">
        <w:t>, mobility pattern</w:t>
      </w:r>
      <w:r w:rsidR="00C81858">
        <w:t>s</w:t>
      </w:r>
      <w:r w:rsidR="00803AD7">
        <w:t xml:space="preserve"> of people </w:t>
      </w:r>
      <w:r w:rsidR="00AB626A">
        <w:t xml:space="preserve">have </w:t>
      </w:r>
      <w:r w:rsidR="00803AD7">
        <w:t xml:space="preserve">undergone significant changes across different phases of the pandemic. For instance, during the early stage of the outbreak, we found a sharp decline in mobility as indicated by the negative parameter </w:t>
      </w:r>
      <w:r w:rsidR="00AB626A">
        <w:t xml:space="preserve">for </w:t>
      </w:r>
      <w:r w:rsidR="00803AD7">
        <w:t xml:space="preserve">the </w:t>
      </w:r>
      <w:r w:rsidR="009F398F">
        <w:t>early</w:t>
      </w:r>
      <w:r w:rsidR="00803AD7">
        <w:t xml:space="preserve">-pandemic phase. This decrease could be attributed to the implementation of lockdowns and restrictive measures during the early stage of the pandemic. </w:t>
      </w:r>
      <w:r w:rsidR="00CA7A8D">
        <w:t xml:space="preserve">Interestingly, as the pandemic progressed, we find noticeable changes in the mobility pattern. </w:t>
      </w:r>
      <w:r w:rsidR="00342730">
        <w:t>Specifically</w:t>
      </w:r>
      <w:r w:rsidR="00CA7A8D">
        <w:t>, the effect on mobility was less severe during the 1</w:t>
      </w:r>
      <w:r w:rsidR="00CA7A8D" w:rsidRPr="00CA7A8D">
        <w:rPr>
          <w:vertAlign w:val="superscript"/>
        </w:rPr>
        <w:t>st</w:t>
      </w:r>
      <w:r w:rsidR="00CA7A8D">
        <w:t xml:space="preserve"> and 2</w:t>
      </w:r>
      <w:r w:rsidR="00CA7A8D" w:rsidRPr="00CA7A8D">
        <w:rPr>
          <w:vertAlign w:val="superscript"/>
        </w:rPr>
        <w:t>nd</w:t>
      </w:r>
      <w:r w:rsidR="00CA7A8D">
        <w:t xml:space="preserve"> wave of the pandemic compared to the initial stage of the pandemic. </w:t>
      </w:r>
      <w:r w:rsidR="000E287F">
        <w:t>It appears</w:t>
      </w:r>
      <w:r w:rsidR="00CA7A8D">
        <w:t xml:space="preserve"> that as </w:t>
      </w:r>
      <w:r w:rsidR="00EE0301">
        <w:t>time</w:t>
      </w:r>
      <w:r w:rsidR="00CA7A8D">
        <w:t xml:space="preserve"> went on, mobility starts to recover to some extent</w:t>
      </w:r>
      <w:r w:rsidR="00342730">
        <w:t xml:space="preserve"> compared to the e</w:t>
      </w:r>
      <w:r w:rsidR="009F398F">
        <w:t>arly</w:t>
      </w:r>
      <w:r w:rsidR="00342730">
        <w:t>-pandemic period</w:t>
      </w:r>
      <w:r w:rsidR="00EE0301">
        <w:t xml:space="preserve"> (see </w:t>
      </w:r>
      <w:r w:rsidR="00EE0301">
        <w:fldChar w:fldCharType="begin" w:fldLock="1"/>
      </w:r>
      <w:r w:rsidR="004968DA">
        <w:instrText>ADDIN CSL_CITATION {"citationItems":[{"id":"ITEM-1","itemData":{"author":[{"dropping-particle":"","family":"Richards","given":"Greg","non-dropping-particle":"","parse-names":false,"suffix":""}],"container-title":"WYSE Travel Confederation/UNWTO The Power of Youth Travel","id":"ITEM-1","issued":{"date-parts":[["2011"]]},"page":"7-8","title":"The economic impact of youth travel","type":"article-journal"},"uris":["http://www.mendeley.com/documents/?uuid=eada6f17-32a7-4b11-9213-3f76de8480cf"]}],"mendeley":{"formattedCitation":"(&lt;i&gt;27&lt;/i&gt;)","plainTextFormattedCitation":"(27)","previouslyFormattedCitation":"(&lt;i&gt;27&lt;/i&gt;)"},"properties":{"noteIndex":0},"schema":"https://github.com/citation-style-language/schema/raw/master/csl-citation.json"}</w:instrText>
      </w:r>
      <w:r w:rsidR="00EE0301">
        <w:fldChar w:fldCharType="separate"/>
      </w:r>
      <w:r w:rsidR="003A5A4F" w:rsidRPr="003A5A4F">
        <w:rPr>
          <w:noProof/>
        </w:rPr>
        <w:t>(</w:t>
      </w:r>
      <w:r w:rsidR="003A5A4F" w:rsidRPr="003A5A4F">
        <w:rPr>
          <w:i/>
          <w:noProof/>
        </w:rPr>
        <w:t>27</w:t>
      </w:r>
      <w:r w:rsidR="003A5A4F" w:rsidRPr="003A5A4F">
        <w:rPr>
          <w:noProof/>
        </w:rPr>
        <w:t>)</w:t>
      </w:r>
      <w:r w:rsidR="00EE0301">
        <w:fldChar w:fldCharType="end"/>
      </w:r>
      <w:r w:rsidR="00EE0301">
        <w:t xml:space="preserve"> for similar results)</w:t>
      </w:r>
      <w:r w:rsidR="00342730">
        <w:t>. H</w:t>
      </w:r>
      <w:r w:rsidR="00CA7A8D">
        <w:t>owever</w:t>
      </w:r>
      <w:r w:rsidR="00342730">
        <w:t>, the reader will also note that</w:t>
      </w:r>
      <w:r w:rsidR="00CA7A8D">
        <w:t xml:space="preserve"> the </w:t>
      </w:r>
      <w:r w:rsidR="000E287F">
        <w:t xml:space="preserve">mobility levels </w:t>
      </w:r>
      <w:r w:rsidR="004E7DB4">
        <w:t xml:space="preserve">during these periods were </w:t>
      </w:r>
      <w:r w:rsidR="00CA7A8D">
        <w:t xml:space="preserve">lower relative to the </w:t>
      </w:r>
      <w:r w:rsidR="004E7DB4">
        <w:t xml:space="preserve">mobility levels in the </w:t>
      </w:r>
      <w:r w:rsidR="00CA7A8D">
        <w:t xml:space="preserve">vaccination phase.  </w:t>
      </w:r>
      <w:r w:rsidR="004E7DB4">
        <w:t xml:space="preserve">The varying temporal parameters can be attributed to familiarity with </w:t>
      </w:r>
      <w:r w:rsidR="00DA39A4">
        <w:t xml:space="preserve">COVID, use of masking, ease of </w:t>
      </w:r>
      <w:r w:rsidR="00CA7A8D">
        <w:t xml:space="preserve">lockdown and </w:t>
      </w:r>
      <w:r w:rsidR="00DA39A4">
        <w:t>fatigue associated with the pandemic.</w:t>
      </w:r>
      <w:r w:rsidR="00CA7A8D">
        <w:t xml:space="preserve"> </w:t>
      </w:r>
    </w:p>
    <w:p w14:paraId="08718076" w14:textId="77777777" w:rsidR="00FB77B1" w:rsidRDefault="00FB77B1" w:rsidP="00EB5197"/>
    <w:p w14:paraId="10C6A8CA" w14:textId="612B5178" w:rsidR="00D26ED4" w:rsidRDefault="007A26F1" w:rsidP="00EB5197">
      <w:r w:rsidRPr="007A26F1">
        <w:rPr>
          <w:u w:val="single"/>
        </w:rPr>
        <w:t xml:space="preserve">COVID-19 </w:t>
      </w:r>
      <w:r w:rsidRPr="00253FBF">
        <w:rPr>
          <w:u w:val="single"/>
        </w:rPr>
        <w:t>related Variables</w:t>
      </w:r>
      <w:r w:rsidRPr="00253FBF">
        <w:t xml:space="preserve">: </w:t>
      </w:r>
      <w:r w:rsidR="00013B0D">
        <w:t xml:space="preserve">Similar to the COVID model, we hypothesize that </w:t>
      </w:r>
      <w:r w:rsidR="00013B0D" w:rsidRPr="00253FBF">
        <w:t>COVID-19 incidence reported today will likely impact mobility behavior</w:t>
      </w:r>
      <w:r w:rsidR="00013B0D">
        <w:t xml:space="preserve"> </w:t>
      </w:r>
      <w:r w:rsidR="00013B0D" w:rsidRPr="00253FBF">
        <w:t>in the future</w:t>
      </w:r>
      <w:r w:rsidR="00013B0D">
        <w:t xml:space="preserve">. </w:t>
      </w:r>
      <w:r w:rsidR="00013B0D" w:rsidRPr="00253FBF">
        <w:t xml:space="preserve">We </w:t>
      </w:r>
      <w:r w:rsidR="00013B0D">
        <w:t xml:space="preserve">tested </w:t>
      </w:r>
      <w:r w:rsidR="00013B0D" w:rsidRPr="00253FBF">
        <w:t xml:space="preserve">several lagged </w:t>
      </w:r>
      <w:r w:rsidR="00013B0D">
        <w:t xml:space="preserve">transmission </w:t>
      </w:r>
      <w:r w:rsidR="00013B0D" w:rsidRPr="00253FBF">
        <w:t xml:space="preserve">variables, and the </w:t>
      </w:r>
      <w:r w:rsidR="00013B0D">
        <w:t>two-</w:t>
      </w:r>
      <w:r w:rsidR="00013B0D" w:rsidRPr="00253FBF">
        <w:t>week lag COVID-19 transmission variable offered the best fit.</w:t>
      </w:r>
      <w:r w:rsidR="00013B0D">
        <w:t xml:space="preserve"> </w:t>
      </w:r>
      <w:r w:rsidR="0099530E" w:rsidRPr="00253FBF">
        <w:t xml:space="preserve">The </w:t>
      </w:r>
      <w:r w:rsidR="00364CD9">
        <w:t xml:space="preserve">presence of several </w:t>
      </w:r>
      <w:r w:rsidR="0099530E" w:rsidRPr="00253FBF">
        <w:t xml:space="preserve">COVID-transmission related variables </w:t>
      </w:r>
      <w:r w:rsidR="000E287F" w:rsidRPr="00253FBF">
        <w:t xml:space="preserve">in Table 2 </w:t>
      </w:r>
      <w:r w:rsidR="003B59DF" w:rsidRPr="00253FBF">
        <w:t>demonstrates</w:t>
      </w:r>
      <w:r w:rsidR="0099530E" w:rsidRPr="00253FBF">
        <w:t xml:space="preserve"> </w:t>
      </w:r>
      <w:r w:rsidR="00364CD9">
        <w:t xml:space="preserve">the </w:t>
      </w:r>
      <w:r w:rsidR="003B59DF">
        <w:t>impact</w:t>
      </w:r>
      <w:r w:rsidR="00364CD9">
        <w:t xml:space="preserve"> of </w:t>
      </w:r>
      <w:r w:rsidR="0099530E" w:rsidRPr="00253FBF">
        <w:t xml:space="preserve">COVID-19 </w:t>
      </w:r>
      <w:r w:rsidR="00364CD9">
        <w:t>on</w:t>
      </w:r>
      <w:r w:rsidR="0099530E" w:rsidRPr="00253FBF">
        <w:t xml:space="preserve"> mobility pattern</w:t>
      </w:r>
      <w:r w:rsidR="00364CD9">
        <w:t>s</w:t>
      </w:r>
      <w:r w:rsidR="0099530E" w:rsidRPr="00253FBF">
        <w:t xml:space="preserve">. </w:t>
      </w:r>
      <w:r w:rsidRPr="00253FBF">
        <w:t>Consistent with earlier research</w:t>
      </w:r>
      <w:r w:rsidR="001B1FD9">
        <w:t xml:space="preserve"> </w:t>
      </w:r>
      <w:r w:rsidR="001B1FD9">
        <w:fldChar w:fldCharType="begin" w:fldLock="1"/>
      </w:r>
      <w:r w:rsidR="004968DA">
        <w:instrText>ADDIN CSL_CITATION {"citationItems":[{"id":"ITEM-1","itemData":{"DOI":"10.1038/s41598-020-77751-2","ISSN":"20452322","PMID":"33244071","abstract":"Since the first case of the novel coronavirus disease (COVID-19) was confirmed in Wuhan, China, social distancing has been promoted worldwide, including in the United States, as a major community mitigation strategy. However, our understanding remains limited in how people would react to such control measures, as well as how people would resume their normal behaviours when those orders were relaxed. We utilize an integrated dataset of real-time mobile device location data involving 100 million devices in the contiguous United States (plus Alaska and Hawaii) from February 2, 2020 to May 30, 2020. Built upon the common human mobility metrics, we construct a Social Distancing Index (SDI) to evaluate people’s mobility pattern changes along with the spread of COVID-19 at different geographic levels. We find that both government orders and local outbreak severity significantly contribute to the strength of social distancing. As people tend to practice less social distancing immediately after they observe a sign of local mitigation, we identify several states and counties with higher risks of continuous community transmission and a second outbreak. Our proposed index could help policymakers and researchers monitor people’s real-time mobility behaviours, understand the influence of government orders, and evaluate the risk of local outbreaks.","author":[{"dropping-particle":"","family":"Pan","given":"Yixuan","non-dropping-particle":"","parse-names":false,"suffix":""},{"dropping-particle":"","family":"Darzi","given":"Aref","non-dropping-particle":"","parse-names":false,"suffix":""},{"dropping-particle":"","family":"Kabiri","given":"Aliakbar","non-dropping-particle":"","parse-names":false,"suffix":""},{"dropping-particle":"","family":"Zhao","given":"Guangchen","non-dropping-particle":"","parse-names":false,"suffix":""},{"dropping-particle":"","family":"Luo","given":"Weiyu","non-dropping-particle":"","parse-names":false,"suffix":""},{"dropping-particle":"","family":"Xiong","given":"Chenfeng","non-dropping-particle":"","parse-names":false,"suffix":""},{"dropping-particle":"","family":"Zhang","given":"Lei","non-dropping-particle":"","parse-names":false,"suffix":""}],"container-title":"Scientific Reports","id":"ITEM-1","issue":"1","issued":{"date-parts":[["2020"]]},"page":"20742","publisher":"Nature Publishing Group UK London","title":"Quantifying human mobility behaviour changes during the COVID-19 outbreak in the United States","type":"article-journal","volume":"10"},"uris":["http://www.mendeley.com/documents/?uuid=8b07301c-0d32-4f24-ac8c-3b2850b80ded"]},{"id":"ITEM-2","itemData":{"DOI":"10.3390/su12229775","ISSN":"20711050","abstract":"SARS-CoV-2 emerged in late 2019. Since then, it has spread to several countries, becoming classified as a pandemic. So far, there is no definitive treatment or vaccine, so the best solution is to prevent transmission between individuals through social distancing. However, it is not easy to measure the effectiveness of these distance measures. Therefore, this study uses data from Google COVID-19 Community Mobility Reports to understand the Portuguese population’s mobility patterns during the COVID-19 pandemic. In this study, the Rt value was modeled for Portugal. In addition, the changepoint was calculated for the population mobility patterns. Thus, the mobility pattern change was used to understand the impact of social distance measures on the dissemination of COVID-19. As a result, it can be stated that the initial Rt value in Portugal was very close to 3, falling to values close to 1 after 25 days. Social isolation measures were adopted quickly. Furthermore, it was observed that public transport was avoided during the pandemic. Finally, until the emergence of a vaccine or an effective treatment, this is the new normal, and it must be understood that new patterns of mobility, social interaction, and hygiene must be adapted to this reality.","author":[{"dropping-particle":"","family":"Tamagusko","given":"Tiago","non-dropping-particle":"","parse-names":false,"suffix":""},{"dropping-particle":"","family":"Ferreira","given":"Adelino","non-dropping-particle":"","parse-names":false,"suffix":""}],"container-title":"Sustainability (Switzerland)","id":"ITEM-2","issue":"22","issued":{"date-parts":[["2020"]]},"page":"1-12","publisher":"Multidisciplinary Digital Publishing Institute","title":"Data-driven approach to understand the mobility patterns of the portuguese population during the covid-19 pandemic","type":"article-journal","volume":"12"},"uris":["http://www.mendeley.com/documents/?uuid=d07a9b65-2f4b-42ef-87e9-7847e4d5f4f3"]}],"mendeley":{"formattedCitation":"(&lt;i&gt;28&lt;/i&gt;, &lt;i&gt;29&lt;/i&gt;)","plainTextFormattedCitation":"(28, 29)","previouslyFormattedCitation":"(&lt;i&gt;28&lt;/i&gt;, &lt;i&gt;29&lt;/i&gt;)"},"properties":{"noteIndex":0},"schema":"https://github.com/citation-style-language/schema/raw/master/csl-citation.json"}</w:instrText>
      </w:r>
      <w:r w:rsidR="001B1FD9">
        <w:fldChar w:fldCharType="separate"/>
      </w:r>
      <w:r w:rsidR="003A5A4F" w:rsidRPr="003A5A4F">
        <w:rPr>
          <w:noProof/>
        </w:rPr>
        <w:t>(</w:t>
      </w:r>
      <w:r w:rsidR="003A5A4F" w:rsidRPr="003A5A4F">
        <w:rPr>
          <w:i/>
          <w:noProof/>
        </w:rPr>
        <w:t>28</w:t>
      </w:r>
      <w:r w:rsidR="003A5A4F" w:rsidRPr="003A5A4F">
        <w:rPr>
          <w:noProof/>
        </w:rPr>
        <w:t xml:space="preserve">, </w:t>
      </w:r>
      <w:r w:rsidR="003A5A4F" w:rsidRPr="003A5A4F">
        <w:rPr>
          <w:i/>
          <w:noProof/>
        </w:rPr>
        <w:t>29</w:t>
      </w:r>
      <w:r w:rsidR="003A5A4F" w:rsidRPr="003A5A4F">
        <w:rPr>
          <w:noProof/>
        </w:rPr>
        <w:t>)</w:t>
      </w:r>
      <w:r w:rsidR="001B1FD9">
        <w:fldChar w:fldCharType="end"/>
      </w:r>
      <w:r w:rsidRPr="00253FBF">
        <w:t xml:space="preserve">, our analysis </w:t>
      </w:r>
      <w:r w:rsidR="00806160">
        <w:t xml:space="preserve">also </w:t>
      </w:r>
      <w:r w:rsidRPr="00253FBF">
        <w:t>found a negative association between COVID-19 transmission and mobility pattern</w:t>
      </w:r>
      <w:r w:rsidR="00364CD9">
        <w:t>s</w:t>
      </w:r>
      <w:r w:rsidR="00040A14" w:rsidRPr="00253FBF">
        <w:t>. The result suggest</w:t>
      </w:r>
      <w:r w:rsidR="00364CD9">
        <w:t>s</w:t>
      </w:r>
      <w:r w:rsidR="00040A14" w:rsidRPr="00253FBF">
        <w:t xml:space="preserve"> that counties experiencing an elevated number of COVID-19 cases </w:t>
      </w:r>
      <w:r w:rsidR="00F13077" w:rsidRPr="00253FBF">
        <w:t xml:space="preserve">today </w:t>
      </w:r>
      <w:r w:rsidR="00040A14" w:rsidRPr="00253FBF">
        <w:t xml:space="preserve">will likely have lower </w:t>
      </w:r>
      <w:r w:rsidR="000E287F" w:rsidRPr="00253FBF">
        <w:t>travel related activities</w:t>
      </w:r>
      <w:r w:rsidR="00040A14" w:rsidRPr="00253FBF">
        <w:t xml:space="preserve"> 2 weeks into the future. </w:t>
      </w:r>
      <w:r w:rsidR="00F13077" w:rsidRPr="00253FBF">
        <w:t xml:space="preserve">Interestingly, the model results show that as the pandemic progressed, the negative effect gradually diminished over the different phases of the pandemic indicating a partial recovery in mobility despite the presence of higher COVID-19 transmission rate. It appears that people may have </w:t>
      </w:r>
      <w:r w:rsidR="00253FBF" w:rsidRPr="00253FBF">
        <w:t>responded</w:t>
      </w:r>
      <w:r w:rsidR="00D26ED4" w:rsidRPr="00253FBF">
        <w:t xml:space="preserve"> to the ongoing pandemic situation by </w:t>
      </w:r>
      <w:r w:rsidR="00253FBF" w:rsidRPr="00253FBF">
        <w:t>adopting</w:t>
      </w:r>
      <w:r w:rsidR="00D26ED4" w:rsidRPr="00253FBF">
        <w:t xml:space="preserve"> safety measures, adjusting their behaviors, and finding ways to resume certain activities while managing the risks</w:t>
      </w:r>
      <w:r w:rsidR="00F13077" w:rsidRPr="00253FBF">
        <w:t>.</w:t>
      </w:r>
    </w:p>
    <w:p w14:paraId="0A50B5F1" w14:textId="77777777" w:rsidR="00D26ED4" w:rsidRDefault="00D26ED4" w:rsidP="00EB5197"/>
    <w:p w14:paraId="13EECFBB" w14:textId="3A0723E3" w:rsidR="00104799" w:rsidRDefault="004E1586" w:rsidP="00EB5197">
      <w:r>
        <w:rPr>
          <w:u w:val="single"/>
        </w:rPr>
        <w:t>Socio-d</w:t>
      </w:r>
      <w:r w:rsidR="00F6489E" w:rsidRPr="00A03B08">
        <w:rPr>
          <w:u w:val="single"/>
        </w:rPr>
        <w:t>emographics</w:t>
      </w:r>
      <w:r w:rsidR="00F6489E">
        <w:t xml:space="preserve">: </w:t>
      </w:r>
      <w:r>
        <w:t>Socio-d</w:t>
      </w:r>
      <w:r w:rsidR="002720CB">
        <w:t xml:space="preserve">emographic characteristics are found to play an important role in influencing mobility behavior. </w:t>
      </w:r>
      <w:r w:rsidR="00D03F7B">
        <w:t xml:space="preserve">The population share by age in a county offered clear impact on mobility. </w:t>
      </w:r>
      <w:r w:rsidR="002720CB">
        <w:t xml:space="preserve">Specifically, we find that </w:t>
      </w:r>
      <w:r w:rsidR="008B0ADD">
        <w:t xml:space="preserve">an increase in </w:t>
      </w:r>
      <w:r w:rsidR="002720CB">
        <w:t xml:space="preserve">the percentage of young people in a county contributes positively towards mobility. Usually, young individuals are more active and </w:t>
      </w:r>
      <w:r w:rsidR="008B0ADD">
        <w:t>are less likely to curtail their mobility in the presence of COVID-19</w:t>
      </w:r>
      <w:r w:rsidR="002720CB">
        <w:t xml:space="preserve">. Contrastingly, the opposite is true for senior people, that is </w:t>
      </w:r>
      <w:r w:rsidR="008B0ADD">
        <w:t xml:space="preserve">in counties with </w:t>
      </w:r>
      <w:r w:rsidR="002720CB">
        <w:t xml:space="preserve">higher </w:t>
      </w:r>
      <w:r w:rsidR="008B0ADD">
        <w:t xml:space="preserve">share </w:t>
      </w:r>
      <w:r w:rsidR="002720CB">
        <w:t xml:space="preserve">of senior </w:t>
      </w:r>
      <w:r w:rsidR="008B0ADD">
        <w:t>population mobility is likely to be lower</w:t>
      </w:r>
      <w:r w:rsidR="00027594">
        <w:t xml:space="preserve"> </w:t>
      </w:r>
      <w:r w:rsidR="00027594">
        <w:fldChar w:fldCharType="begin" w:fldLock="1"/>
      </w:r>
      <w:r w:rsidR="004968DA">
        <w:instrText>ADDIN CSL_CITATION {"citationItems":[{"id":"ITEM-1","itemData":{"DOI":"10.1097/JES.0b013e3182556f1e","ISSN":"00916331","PMID":"23038241","abstract":"Mobility is important for community independence. With increasing age, underlying pathologies, genetic vulnerabilities, physiological and sensory impairments, and environmental barriers increase the risk for mobility decline. Understanding how mobility declines is paramount to finding ways to promote mobility in old age. Copyright © 2012 by the American College of Sports Medicine.","author":[{"dropping-particle":"","family":"Rantakokko","given":"Merja","non-dropping-particle":"","parse-names":false,"suffix":""},{"dropping-particle":"","family":"Mänty","given":"Minna","non-dropping-particle":"","parse-names":false,"suffix":""},{"dropping-particle":"","family":"Rantanen","given":"Taina","non-dropping-particle":"","parse-names":false,"suffix":""}],"container-title":"Exercise and Sport Sciences Reviews","id":"ITEM-1","issue":"1","issued":{"date-parts":[["2013"]]},"page":"19-25","publisher":"LWW","title":"Mobility decline in old age","type":"article-journal","volume":"41"},"uris":["http://www.mendeley.com/documents/?uuid=ab68579d-5120-45ba-bc28-d1ca4d46ef15"]}],"mendeley":{"formattedCitation":"(&lt;i&gt;30&lt;/i&gt;)","plainTextFormattedCitation":"(30)","previouslyFormattedCitation":"(&lt;i&gt;30&lt;/i&gt;)"},"properties":{"noteIndex":0},"schema":"https://github.com/citation-style-language/schema/raw/master/csl-citation.json"}</w:instrText>
      </w:r>
      <w:r w:rsidR="00027594">
        <w:fldChar w:fldCharType="separate"/>
      </w:r>
      <w:r w:rsidR="003A5A4F" w:rsidRPr="003A5A4F">
        <w:rPr>
          <w:noProof/>
        </w:rPr>
        <w:t>(</w:t>
      </w:r>
      <w:r w:rsidR="003A5A4F" w:rsidRPr="003A5A4F">
        <w:rPr>
          <w:i/>
          <w:noProof/>
        </w:rPr>
        <w:t>30</w:t>
      </w:r>
      <w:r w:rsidR="003A5A4F" w:rsidRPr="003A5A4F">
        <w:rPr>
          <w:noProof/>
        </w:rPr>
        <w:t>)</w:t>
      </w:r>
      <w:r w:rsidR="00027594">
        <w:fldChar w:fldCharType="end"/>
      </w:r>
      <w:r w:rsidR="00F6489E">
        <w:t xml:space="preserve">. </w:t>
      </w:r>
      <w:r w:rsidR="00A61480">
        <w:t>T</w:t>
      </w:r>
      <w:r w:rsidR="00104799">
        <w:t xml:space="preserve">he </w:t>
      </w:r>
      <w:r w:rsidR="00A61480">
        <w:t xml:space="preserve">model </w:t>
      </w:r>
      <w:r w:rsidR="00104799">
        <w:t>estimation results show that count</w:t>
      </w:r>
      <w:r w:rsidR="00A61480">
        <w:t xml:space="preserve">ies </w:t>
      </w:r>
      <w:r w:rsidR="00104799">
        <w:t xml:space="preserve"> with </w:t>
      </w:r>
      <w:r w:rsidR="00A61480">
        <w:t>higher share of</w:t>
      </w:r>
      <w:r w:rsidR="00104799">
        <w:t xml:space="preserve"> </w:t>
      </w:r>
      <w:r w:rsidR="00A6621B">
        <w:t xml:space="preserve"> </w:t>
      </w:r>
      <w:r w:rsidR="00104799">
        <w:t xml:space="preserve">African-American and Hispanic people are likely to experience higher </w:t>
      </w:r>
      <w:r w:rsidR="00A61480">
        <w:t>mobility</w:t>
      </w:r>
      <w:r w:rsidR="00104799">
        <w:t xml:space="preserve">. </w:t>
      </w:r>
      <w:r w:rsidR="00DF07C8">
        <w:t>Finally, t</w:t>
      </w:r>
      <w:r w:rsidR="00DF07C8" w:rsidRPr="00DF07C8">
        <w:t xml:space="preserve">he positive coefficient </w:t>
      </w:r>
      <w:r w:rsidR="00DF07C8">
        <w:t xml:space="preserve">associated with the employment rate </w:t>
      </w:r>
      <w:r w:rsidR="00DF07C8" w:rsidRPr="00DF07C8">
        <w:t>indicates that an increase in the employment rate</w:t>
      </w:r>
      <w:r w:rsidR="00A61480">
        <w:t xml:space="preserve"> in a county</w:t>
      </w:r>
      <w:r w:rsidR="00DF07C8" w:rsidRPr="00DF07C8">
        <w:t xml:space="preserve"> </w:t>
      </w:r>
      <w:r w:rsidR="00DF07C8">
        <w:t xml:space="preserve">resulted in increased mobility. </w:t>
      </w:r>
      <w:r w:rsidR="00A61480">
        <w:t xml:space="preserve">A higher employment rate is associated with </w:t>
      </w:r>
      <w:r w:rsidR="00AF310C">
        <w:t>a higher</w:t>
      </w:r>
      <w:r w:rsidR="00A61480">
        <w:t xml:space="preserve"> need to travel (for work) and </w:t>
      </w:r>
      <w:r w:rsidR="00CC785A">
        <w:t>ability to engage in discretionary leisure activities.</w:t>
      </w:r>
      <w:r w:rsidR="00A61480">
        <w:t xml:space="preserve">  </w:t>
      </w:r>
    </w:p>
    <w:p w14:paraId="2EBED75A" w14:textId="77777777" w:rsidR="00B70D49" w:rsidRDefault="00B70D49" w:rsidP="00EB5197"/>
    <w:p w14:paraId="5B61A3A3" w14:textId="1F21C063" w:rsidR="00E3508F" w:rsidRDefault="00DF07C8" w:rsidP="00EB5197">
      <w:r w:rsidRPr="00A03B08">
        <w:rPr>
          <w:u w:val="single"/>
        </w:rPr>
        <w:t>Spatial Factors</w:t>
      </w:r>
      <w:r>
        <w:t xml:space="preserve">: </w:t>
      </w:r>
      <w:r w:rsidR="00104799">
        <w:t>Among</w:t>
      </w:r>
      <w:r w:rsidR="00E3508F">
        <w:t xml:space="preserve"> spatial factors, o</w:t>
      </w:r>
      <w:r w:rsidR="00E3508F" w:rsidRPr="00E3508F">
        <w:t>ur analysis indicates that several factors related to geographical location and airport accessibility have a positive effect on mobility demand</w:t>
      </w:r>
      <w:r w:rsidR="00E3508F">
        <w:t xml:space="preserve">. Specifically, people residing in the south </w:t>
      </w:r>
      <w:r w:rsidR="00AE00AD">
        <w:t>and</w:t>
      </w:r>
      <w:r w:rsidR="00E3508F">
        <w:t xml:space="preserve"> mid-west region exhibit higher mobility as indicated by the positive coefficient in Table 2. </w:t>
      </w:r>
      <w:r w:rsidR="005C38F8">
        <w:t xml:space="preserve">The higher mobility can be attributed to </w:t>
      </w:r>
      <w:r w:rsidR="00807813">
        <w:t>favorable weather condition</w:t>
      </w:r>
      <w:r w:rsidR="005C38F8">
        <w:t>s,</w:t>
      </w:r>
      <w:r w:rsidR="00807813">
        <w:t xml:space="preserve"> extensive </w:t>
      </w:r>
      <w:r w:rsidR="005C38F8">
        <w:t xml:space="preserve">private </w:t>
      </w:r>
      <w:r w:rsidR="00807813">
        <w:t xml:space="preserve">transportation infrastructure </w:t>
      </w:r>
      <w:r w:rsidR="005C38F8">
        <w:t xml:space="preserve">and </w:t>
      </w:r>
      <w:r w:rsidR="006802D0">
        <w:t>lower inclination for lockdown measures in these regions</w:t>
      </w:r>
      <w:r w:rsidR="00807813">
        <w:t xml:space="preserve">. </w:t>
      </w:r>
      <w:r w:rsidR="00E3508F" w:rsidRPr="00104799">
        <w:t xml:space="preserve">Further, the </w:t>
      </w:r>
      <w:r w:rsidR="00104799" w:rsidRPr="00104799">
        <w:t>parameter</w:t>
      </w:r>
      <w:r w:rsidR="00E3508F" w:rsidRPr="00104799">
        <w:t xml:space="preserve"> associated with airport density offers a positive </w:t>
      </w:r>
      <w:r w:rsidR="00104799" w:rsidRPr="00104799">
        <w:t>contribution</w:t>
      </w:r>
      <w:r w:rsidR="00E3508F" w:rsidRPr="00104799">
        <w:t xml:space="preserve"> suggesting an increased mobility demand in the</w:t>
      </w:r>
      <w:r w:rsidR="00AE00AD" w:rsidRPr="00104799">
        <w:t xml:space="preserve"> </w:t>
      </w:r>
      <w:r w:rsidR="00E3508F" w:rsidRPr="00104799">
        <w:t xml:space="preserve">areas with better airport accessibility. </w:t>
      </w:r>
      <w:r w:rsidR="00104799" w:rsidRPr="00104799">
        <w:t xml:space="preserve">In general, </w:t>
      </w:r>
      <w:r w:rsidR="006802D0">
        <w:t>an</w:t>
      </w:r>
      <w:r w:rsidR="006802D0" w:rsidRPr="00104799">
        <w:t xml:space="preserve"> </w:t>
      </w:r>
      <w:r w:rsidR="00807813" w:rsidRPr="00104799">
        <w:t>increased</w:t>
      </w:r>
      <w:r w:rsidR="00104799" w:rsidRPr="00104799">
        <w:t xml:space="preserve"> number of airports </w:t>
      </w:r>
      <w:r w:rsidR="006802D0">
        <w:t>in a county contribute to higher mobility</w:t>
      </w:r>
      <w:r w:rsidR="00E3508F" w:rsidRPr="00104799">
        <w:t>.</w:t>
      </w:r>
    </w:p>
    <w:p w14:paraId="62BB4644" w14:textId="77777777" w:rsidR="00B4708F" w:rsidRDefault="00B4708F" w:rsidP="00EB5197"/>
    <w:p w14:paraId="4D7A6EEE" w14:textId="77777777" w:rsidR="005F5DD4" w:rsidRDefault="005F5DD4" w:rsidP="00EB5197">
      <w:pPr>
        <w:pStyle w:val="Heading3"/>
      </w:pPr>
      <w:r>
        <w:t>Correlation Factors</w:t>
      </w:r>
    </w:p>
    <w:p w14:paraId="4F21D5B0" w14:textId="5B5278D2" w:rsidR="00951E41" w:rsidRDefault="00534BC9" w:rsidP="00EB5197">
      <w:r w:rsidRPr="00534BC9">
        <w:t xml:space="preserve">As </w:t>
      </w:r>
      <w:r w:rsidR="00FD38C2">
        <w:t>described in the methodology section</w:t>
      </w:r>
      <w:r w:rsidRPr="00534BC9">
        <w:t xml:space="preserve">, we developed </w:t>
      </w:r>
      <w:r w:rsidR="00F20701">
        <w:t>a</w:t>
      </w:r>
      <w:r w:rsidRPr="00534BC9">
        <w:t xml:space="preserve"> bi-directional simultaneous mixed linear model for estimating the daily COVID-19 transmission rate  and the mobility pattern to incorporate two levels of dependencies: a. </w:t>
      </w:r>
      <w:r w:rsidR="006C33B8">
        <w:t xml:space="preserve">temporal correlations: </w:t>
      </w:r>
      <w:r w:rsidRPr="00534BC9">
        <w:t>dependencies across each county for weekly level repetitions (</w:t>
      </w:r>
      <m:oMath>
        <m:sSup>
          <m:sSupPr>
            <m:ctrlPr>
              <w:rPr>
                <w:rFonts w:ascii="Cambria Math" w:hAnsi="Cambria Math"/>
              </w:rPr>
            </m:ctrlPr>
          </m:sSupPr>
          <m:e>
            <m:r>
              <w:rPr>
                <w:rFonts w:ascii="Cambria Math" w:hAnsi="Cambria Math"/>
              </w:rPr>
              <m:t>σ</m:t>
            </m:r>
          </m:e>
          <m:sup>
            <m:r>
              <m:rPr>
                <m:sty m:val="p"/>
              </m:rPr>
              <w:rPr>
                <w:rFonts w:ascii="Cambria Math" w:hAnsi="Cambria Math"/>
              </w:rPr>
              <m:t>2</m:t>
            </m:r>
          </m:sup>
        </m:sSup>
        <m:r>
          <m:rPr>
            <m:sty m:val="p"/>
          </m:rPr>
          <w:rPr>
            <w:rFonts w:ascii="Cambria Math" w:hAnsi="Cambria Math"/>
          </w:rPr>
          <m:t xml:space="preserve">, </m:t>
        </m:r>
        <m:r>
          <w:rPr>
            <w:rFonts w:ascii="Cambria Math" w:hAnsi="Cambria Math"/>
          </w:rPr>
          <m:t>ρ</m:t>
        </m:r>
      </m:oMath>
      <w:r w:rsidRPr="00534BC9">
        <w:t xml:space="preserve"> and </w:t>
      </w:r>
      <m:oMath>
        <m:r>
          <w:rPr>
            <w:rFonts w:ascii="Cambria Math" w:hAnsi="Cambria Math"/>
          </w:rPr>
          <m:t>ϕ</m:t>
        </m:r>
      </m:oMath>
      <w:r>
        <w:rPr>
          <w:rFonts w:eastAsiaTheme="minorEastAsia"/>
        </w:rPr>
        <w:t>,</w:t>
      </w:r>
      <w:r w:rsidRPr="00534BC9">
        <w:t>) and b. common unobserved factors affecting COVID-19 transmission and mobility pattern simultaneously (</w:t>
      </w:r>
      <w:r w:rsidRPr="00534BC9">
        <w:rPr>
          <w:rFonts w:eastAsia="Times New Roman" w:cs="Times New Roman"/>
          <w:color w:val="000000"/>
          <w:szCs w:val="24"/>
        </w:rPr>
        <w:t>η)</w:t>
      </w:r>
      <w:r w:rsidRPr="00534BC9">
        <w:t>. The last row panel of Table 2 present the</w:t>
      </w:r>
      <w:r w:rsidR="00FD38C2">
        <w:t xml:space="preserve"> estimated </w:t>
      </w:r>
      <w:r w:rsidRPr="00534BC9">
        <w:t>correlation parameters.</w:t>
      </w:r>
      <w:r>
        <w:t xml:space="preserve"> </w:t>
      </w:r>
      <w:r w:rsidR="006C33B8">
        <w:t xml:space="preserve">All the parameters demonstrate high significance level </w:t>
      </w:r>
      <w:r w:rsidR="00FD38C2">
        <w:t xml:space="preserve">highlighting </w:t>
      </w:r>
      <w:r w:rsidR="006C33B8">
        <w:t xml:space="preserve">the influential role of unobserved factors in shaping the relationship between COVID-19 transmission and </w:t>
      </w:r>
      <w:r w:rsidR="008B5E42">
        <w:t xml:space="preserve">population </w:t>
      </w:r>
      <w:r w:rsidR="006C33B8">
        <w:t xml:space="preserve">mobility level. In particular, the significant impact of the temporal correlations </w:t>
      </w:r>
      <w:r w:rsidR="00951E41">
        <w:t xml:space="preserve">underscores the role of temporal dynamics and dependencies over time(74 weeks) in </w:t>
      </w:r>
      <w:r w:rsidR="00951E41">
        <w:lastRenderedPageBreak/>
        <w:t xml:space="preserve">influencing </w:t>
      </w:r>
      <w:r w:rsidR="006C33B8">
        <w:t xml:space="preserve">COVID-19 transmission and mobility patterns. </w:t>
      </w:r>
      <w:r w:rsidR="00951E41">
        <w:t>Additionally</w:t>
      </w:r>
      <w:r w:rsidR="006C33B8">
        <w:t xml:space="preserve">, </w:t>
      </w:r>
      <w:r w:rsidR="00951E41">
        <w:t>t</w:t>
      </w:r>
      <w:r w:rsidR="00951E41" w:rsidRPr="00951E41">
        <w:t xml:space="preserve">he presence of significant common unobserved factors </w:t>
      </w:r>
      <w:r w:rsidR="00951E41">
        <w:t>(</w:t>
      </w:r>
      <w:r w:rsidR="00951E41" w:rsidRPr="00534BC9">
        <w:rPr>
          <w:rFonts w:eastAsia="Times New Roman" w:cs="Times New Roman"/>
          <w:color w:val="000000"/>
          <w:szCs w:val="24"/>
        </w:rPr>
        <w:t>η</w:t>
      </w:r>
      <w:r w:rsidR="00951E41" w:rsidRPr="00951E41">
        <w:t xml:space="preserve"> </w:t>
      </w:r>
      <w:r w:rsidR="00951E41">
        <w:t xml:space="preserve">in Table 2) </w:t>
      </w:r>
      <w:r w:rsidR="00951E41" w:rsidRPr="00951E41">
        <w:t>suggests interconnectedness between COVID-19 transmission and mobility pattern</w:t>
      </w:r>
      <w:r w:rsidR="00951E41">
        <w:t>s. The</w:t>
      </w:r>
      <w:r w:rsidR="0039353F">
        <w:t xml:space="preserve"> findings offer support to our hypothesis that </w:t>
      </w:r>
      <w:r w:rsidR="00951E41">
        <w:t xml:space="preserve">it is necessary to develop a simultaneous model to capture the </w:t>
      </w:r>
      <w:r w:rsidR="00951E41" w:rsidRPr="00951E41">
        <w:t>influence and feedback between COVID-19 transmission and mobility patterns</w:t>
      </w:r>
      <w:r w:rsidR="00951E41">
        <w:t>.</w:t>
      </w:r>
    </w:p>
    <w:p w14:paraId="1DC2E4AC" w14:textId="7BCAC4BC" w:rsidR="00534BC9" w:rsidRDefault="00534BC9" w:rsidP="00EB5197"/>
    <w:p w14:paraId="2E747634" w14:textId="77A28E1A" w:rsidR="00B31CDB" w:rsidRDefault="00741E12" w:rsidP="00EB5197">
      <w:pPr>
        <w:pStyle w:val="Heading2"/>
        <w:ind w:left="576" w:hanging="576"/>
      </w:pPr>
      <w:r>
        <w:t xml:space="preserve">Validation Analysis </w:t>
      </w:r>
    </w:p>
    <w:p w14:paraId="20AA1067" w14:textId="6FA591D9" w:rsidR="00D717BF" w:rsidRPr="00076582" w:rsidRDefault="00D717BF" w:rsidP="00EB5197">
      <w:pPr>
        <w:rPr>
          <w:color w:val="FF0000"/>
        </w:rPr>
      </w:pPr>
      <w:r w:rsidRPr="00D717BF">
        <w:t>In this section, we conduct</w:t>
      </w:r>
      <w:r w:rsidR="0039353F">
        <w:t>ed</w:t>
      </w:r>
      <w:r w:rsidRPr="00D717BF">
        <w:t xml:space="preserve"> a validation exercise, to evaluate the performance of the proposed </w:t>
      </w:r>
      <w:r w:rsidR="0039353F">
        <w:t xml:space="preserve">joint </w:t>
      </w:r>
      <w:r w:rsidRPr="00D717BF">
        <w:t xml:space="preserve">model on </w:t>
      </w:r>
      <w:r w:rsidR="0039353F" w:rsidRPr="004465BD">
        <w:t>observations set aside for validation and</w:t>
      </w:r>
      <w:r w:rsidRPr="004465BD">
        <w:t xml:space="preserve"> not used for model estimation (</w:t>
      </w:r>
      <w:r w:rsidR="00D351F3" w:rsidRPr="004465BD">
        <w:t xml:space="preserve">231 counties </w:t>
      </w:r>
      <w:r w:rsidR="0039353F" w:rsidRPr="004465BD">
        <w:t xml:space="preserve">were </w:t>
      </w:r>
      <w:r w:rsidR="00D351F3" w:rsidRPr="004465BD">
        <w:t xml:space="preserve">set aside as </w:t>
      </w:r>
      <w:r w:rsidR="0039353F" w:rsidRPr="004465BD">
        <w:t xml:space="preserve">the </w:t>
      </w:r>
      <w:r w:rsidRPr="004465BD">
        <w:t xml:space="preserve">hold-out sample). In the validation exercise, the performance of the </w:t>
      </w:r>
      <w:r w:rsidR="0039353F" w:rsidRPr="004465BD">
        <w:t xml:space="preserve">joint bi-directional mixed </w:t>
      </w:r>
      <w:r w:rsidRPr="004465BD">
        <w:t xml:space="preserve">model is compared with the </w:t>
      </w:r>
      <w:r w:rsidR="0039353F" w:rsidRPr="004465BD">
        <w:t xml:space="preserve">performance of the </w:t>
      </w:r>
      <w:proofErr w:type="spellStart"/>
      <w:r w:rsidR="0039353F" w:rsidRPr="004465BD">
        <w:t>un</w:t>
      </w:r>
      <w:r w:rsidR="004C272F" w:rsidRPr="004465BD">
        <w:t>i</w:t>
      </w:r>
      <w:proofErr w:type="spellEnd"/>
      <w:r w:rsidR="0039353F" w:rsidRPr="004465BD">
        <w:t xml:space="preserve">-directional mixed </w:t>
      </w:r>
      <w:r w:rsidR="004C272F" w:rsidRPr="004465BD">
        <w:t xml:space="preserve">linear </w:t>
      </w:r>
      <w:r w:rsidR="0039353F" w:rsidRPr="004465BD">
        <w:t xml:space="preserve">model and the </w:t>
      </w:r>
      <w:proofErr w:type="spellStart"/>
      <w:r w:rsidR="004C272F" w:rsidRPr="004465BD">
        <w:t>uni</w:t>
      </w:r>
      <w:proofErr w:type="spellEnd"/>
      <w:r w:rsidR="004C272F" w:rsidRPr="004465BD">
        <w:t>-directional linear regression</w:t>
      </w:r>
      <w:r w:rsidRPr="004465BD">
        <w:t xml:space="preserve"> model. The comparison exercise across the three models is conducted based on the root mean square </w:t>
      </w:r>
      <w:r w:rsidR="004C272F" w:rsidRPr="004465BD">
        <w:t xml:space="preserve">error </w:t>
      </w:r>
      <w:r w:rsidRPr="004465BD">
        <w:t xml:space="preserve">value (RMSE). </w:t>
      </w:r>
      <w:r w:rsidR="00D351F3" w:rsidRPr="004465BD">
        <w:t>The results for the validation effort are presented in Table 3. The result</w:t>
      </w:r>
      <w:r w:rsidR="005902F4" w:rsidRPr="004465BD">
        <w:t>s</w:t>
      </w:r>
      <w:r w:rsidR="00D351F3" w:rsidRPr="004465BD">
        <w:t xml:space="preserve"> clearly highlight </w:t>
      </w:r>
      <w:r w:rsidR="005902F4" w:rsidRPr="004465BD">
        <w:t xml:space="preserve">the superior performance (as indicated by the lower RMSE values) of the </w:t>
      </w:r>
      <w:r w:rsidR="004C272F" w:rsidRPr="004465BD">
        <w:t xml:space="preserve">joint </w:t>
      </w:r>
      <w:r w:rsidR="005902F4" w:rsidRPr="004465BD">
        <w:t xml:space="preserve">model over its other counterparts across both estimation and validation samples. </w:t>
      </w:r>
      <w:r w:rsidR="004C272F" w:rsidRPr="004465BD">
        <w:t>T</w:t>
      </w:r>
      <w:bookmarkStart w:id="3" w:name="_Hlk166284709"/>
      <w:r w:rsidR="005902F4" w:rsidRPr="004465BD">
        <w:t xml:space="preserve">he validation exercise further confirms the suitability of the simultaneous </w:t>
      </w:r>
      <w:r w:rsidR="004C272F" w:rsidRPr="004465BD">
        <w:t xml:space="preserve">bi-directional </w:t>
      </w:r>
      <w:r w:rsidR="005902F4" w:rsidRPr="004465BD">
        <w:t xml:space="preserve">model for capturing the interconnectedness across COVID and mobility, as it offers enhanced interpretability as well as </w:t>
      </w:r>
      <w:r w:rsidR="004C213D" w:rsidRPr="004465BD">
        <w:t>improved</w:t>
      </w:r>
      <w:r w:rsidR="004C272F" w:rsidRPr="004465BD">
        <w:t xml:space="preserve"> </w:t>
      </w:r>
      <w:r w:rsidR="005902F4" w:rsidRPr="004465BD">
        <w:t xml:space="preserve">predictive capability. </w:t>
      </w:r>
      <w:bookmarkEnd w:id="3"/>
      <w:r w:rsidR="00D351F3" w:rsidRPr="004465BD">
        <w:t xml:space="preserve">The reader would note the adoption of other metrics such as mean prediction bias (MPB), mean absolute deviation (MAD) offer similar results and are </w:t>
      </w:r>
      <w:r w:rsidR="00F356DA" w:rsidRPr="004465BD">
        <w:t>presented in the Appendix (Table A.1)</w:t>
      </w:r>
      <w:r w:rsidR="00D351F3" w:rsidRPr="004465BD">
        <w:t>.</w:t>
      </w:r>
    </w:p>
    <w:p w14:paraId="2100A2EE" w14:textId="77777777" w:rsidR="00E64EFF" w:rsidRDefault="00E64EFF" w:rsidP="00EB5197">
      <w:pPr>
        <w:rPr>
          <w:rFonts w:eastAsiaTheme="minorEastAsia"/>
        </w:rPr>
      </w:pPr>
    </w:p>
    <w:p w14:paraId="4C794585" w14:textId="77777777" w:rsidR="00D717BF" w:rsidRDefault="00D717BF" w:rsidP="00EB5197">
      <w:r w:rsidRPr="00D717BF">
        <w:rPr>
          <w:b/>
          <w:bCs/>
        </w:rPr>
        <w:t>Table 3</w:t>
      </w:r>
      <w:r>
        <w:t>: Model Validation Results</w:t>
      </w:r>
    </w:p>
    <w:tbl>
      <w:tblPr>
        <w:tblW w:w="925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56"/>
        <w:gridCol w:w="4489"/>
        <w:gridCol w:w="1710"/>
        <w:gridCol w:w="1800"/>
      </w:tblGrid>
      <w:tr w:rsidR="00651850" w:rsidRPr="00400DE6" w14:paraId="6B51141C" w14:textId="77777777" w:rsidTr="004139B9">
        <w:trPr>
          <w:trHeight w:val="300"/>
        </w:trPr>
        <w:tc>
          <w:tcPr>
            <w:tcW w:w="1256" w:type="dxa"/>
            <w:tcBorders>
              <w:top w:val="double" w:sz="4" w:space="0" w:color="auto"/>
              <w:bottom w:val="single" w:sz="4" w:space="0" w:color="auto"/>
            </w:tcBorders>
            <w:shd w:val="clear" w:color="auto" w:fill="auto"/>
            <w:noWrap/>
            <w:vAlign w:val="center"/>
            <w:hideMark/>
          </w:tcPr>
          <w:p w14:paraId="0DED175A"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Data</w:t>
            </w:r>
          </w:p>
        </w:tc>
        <w:tc>
          <w:tcPr>
            <w:tcW w:w="4489" w:type="dxa"/>
            <w:tcBorders>
              <w:top w:val="double" w:sz="4" w:space="0" w:color="auto"/>
            </w:tcBorders>
            <w:shd w:val="clear" w:color="auto" w:fill="auto"/>
            <w:noWrap/>
            <w:vAlign w:val="center"/>
            <w:hideMark/>
          </w:tcPr>
          <w:p w14:paraId="5BA58C98"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Model</w:t>
            </w:r>
          </w:p>
        </w:tc>
        <w:tc>
          <w:tcPr>
            <w:tcW w:w="1710" w:type="dxa"/>
            <w:tcBorders>
              <w:top w:val="double" w:sz="4" w:space="0" w:color="auto"/>
            </w:tcBorders>
            <w:shd w:val="clear" w:color="auto" w:fill="auto"/>
            <w:noWrap/>
            <w:vAlign w:val="center"/>
            <w:hideMark/>
          </w:tcPr>
          <w:p w14:paraId="790F8632" w14:textId="77777777" w:rsidR="009B6ECB" w:rsidRDefault="009B6ECB" w:rsidP="00EB5197">
            <w:pPr>
              <w:jc w:val="left"/>
              <w:rPr>
                <w:rFonts w:eastAsia="Times New Roman" w:cs="Times New Roman"/>
                <w:color w:val="000000"/>
                <w:szCs w:val="24"/>
              </w:rPr>
            </w:pPr>
            <w:r w:rsidRPr="00400DE6">
              <w:rPr>
                <w:rFonts w:eastAsia="Times New Roman" w:cs="Times New Roman"/>
                <w:color w:val="000000"/>
                <w:szCs w:val="24"/>
              </w:rPr>
              <w:t>COVID</w:t>
            </w:r>
            <w:r>
              <w:rPr>
                <w:rFonts w:eastAsia="Times New Roman" w:cs="Times New Roman"/>
                <w:color w:val="000000"/>
                <w:szCs w:val="24"/>
              </w:rPr>
              <w:t xml:space="preserve"> Model</w:t>
            </w:r>
          </w:p>
          <w:p w14:paraId="639C2A57" w14:textId="77777777" w:rsidR="009B6ECB" w:rsidRPr="00400DE6" w:rsidRDefault="009B6ECB" w:rsidP="00EB5197">
            <w:pPr>
              <w:jc w:val="left"/>
              <w:rPr>
                <w:rFonts w:eastAsia="Times New Roman" w:cs="Times New Roman"/>
                <w:color w:val="000000"/>
                <w:szCs w:val="24"/>
              </w:rPr>
            </w:pPr>
            <w:r>
              <w:rPr>
                <w:rFonts w:eastAsia="Times New Roman" w:cs="Times New Roman"/>
                <w:color w:val="000000"/>
                <w:szCs w:val="24"/>
              </w:rPr>
              <w:t>RMSE</w:t>
            </w:r>
          </w:p>
        </w:tc>
        <w:tc>
          <w:tcPr>
            <w:tcW w:w="1800" w:type="dxa"/>
            <w:tcBorders>
              <w:top w:val="double" w:sz="4" w:space="0" w:color="auto"/>
            </w:tcBorders>
            <w:shd w:val="clear" w:color="auto" w:fill="auto"/>
            <w:noWrap/>
            <w:vAlign w:val="center"/>
            <w:hideMark/>
          </w:tcPr>
          <w:p w14:paraId="7911474F" w14:textId="77777777" w:rsidR="009B6ECB" w:rsidRDefault="009B6ECB" w:rsidP="00EB5197">
            <w:pPr>
              <w:jc w:val="left"/>
              <w:rPr>
                <w:rFonts w:eastAsia="Times New Roman" w:cs="Times New Roman"/>
                <w:color w:val="000000"/>
                <w:szCs w:val="24"/>
              </w:rPr>
            </w:pPr>
            <w:r w:rsidRPr="00400DE6">
              <w:rPr>
                <w:rFonts w:eastAsia="Times New Roman" w:cs="Times New Roman"/>
                <w:color w:val="000000"/>
                <w:szCs w:val="24"/>
              </w:rPr>
              <w:t xml:space="preserve">Mobility </w:t>
            </w:r>
            <w:r>
              <w:rPr>
                <w:rFonts w:eastAsia="Times New Roman" w:cs="Times New Roman"/>
                <w:color w:val="000000"/>
                <w:szCs w:val="24"/>
              </w:rPr>
              <w:t>Model</w:t>
            </w:r>
          </w:p>
          <w:p w14:paraId="26E99DA2" w14:textId="77777777" w:rsidR="009B6ECB" w:rsidRPr="00400DE6" w:rsidRDefault="009B6ECB" w:rsidP="00EB5197">
            <w:pPr>
              <w:jc w:val="left"/>
              <w:rPr>
                <w:rFonts w:eastAsia="Times New Roman" w:cs="Times New Roman"/>
                <w:color w:val="000000"/>
                <w:szCs w:val="24"/>
              </w:rPr>
            </w:pPr>
            <w:r>
              <w:rPr>
                <w:rFonts w:eastAsia="Times New Roman" w:cs="Times New Roman"/>
                <w:color w:val="000000"/>
                <w:szCs w:val="24"/>
              </w:rPr>
              <w:t>RMSE</w:t>
            </w:r>
          </w:p>
        </w:tc>
      </w:tr>
      <w:tr w:rsidR="009B6ECB" w:rsidRPr="00400DE6" w14:paraId="637E6CC9" w14:textId="77777777" w:rsidTr="0051100B">
        <w:trPr>
          <w:trHeight w:val="300"/>
        </w:trPr>
        <w:tc>
          <w:tcPr>
            <w:tcW w:w="1256" w:type="dxa"/>
            <w:vMerge w:val="restart"/>
            <w:tcBorders>
              <w:top w:val="single" w:sz="4" w:space="0" w:color="auto"/>
              <w:bottom w:val="single" w:sz="4" w:space="0" w:color="auto"/>
            </w:tcBorders>
            <w:shd w:val="clear" w:color="auto" w:fill="auto"/>
            <w:noWrap/>
            <w:vAlign w:val="center"/>
            <w:hideMark/>
          </w:tcPr>
          <w:p w14:paraId="207D6239"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Estimation</w:t>
            </w:r>
          </w:p>
        </w:tc>
        <w:tc>
          <w:tcPr>
            <w:tcW w:w="4489" w:type="dxa"/>
            <w:shd w:val="clear" w:color="auto" w:fill="auto"/>
            <w:noWrap/>
            <w:vAlign w:val="center"/>
            <w:hideMark/>
          </w:tcPr>
          <w:p w14:paraId="4A63D967" w14:textId="2D346CB6" w:rsidR="009B6ECB" w:rsidRPr="00400DE6" w:rsidRDefault="00AF310C" w:rsidP="00EB5197">
            <w:pPr>
              <w:jc w:val="left"/>
              <w:rPr>
                <w:rFonts w:eastAsia="Times New Roman" w:cs="Times New Roman"/>
                <w:color w:val="000000"/>
                <w:szCs w:val="24"/>
              </w:rPr>
            </w:pPr>
            <w:r>
              <w:rPr>
                <w:rFonts w:eastAsia="Times New Roman" w:cs="Times New Roman"/>
                <w:color w:val="000000"/>
                <w:szCs w:val="24"/>
              </w:rPr>
              <w:t>U</w:t>
            </w:r>
            <w:r w:rsidRPr="00AF310C">
              <w:rPr>
                <w:rFonts w:eastAsia="Times New Roman" w:cs="Times New Roman"/>
                <w:color w:val="000000"/>
                <w:szCs w:val="24"/>
              </w:rPr>
              <w:t>ni -directional linear regression model</w:t>
            </w:r>
            <w:r w:rsidR="0051100B">
              <w:rPr>
                <w:rFonts w:eastAsia="Times New Roman" w:cs="Times New Roman"/>
                <w:color w:val="000000"/>
                <w:szCs w:val="24"/>
              </w:rPr>
              <w:t xml:space="preserve"> </w:t>
            </w:r>
          </w:p>
        </w:tc>
        <w:tc>
          <w:tcPr>
            <w:tcW w:w="1710" w:type="dxa"/>
            <w:shd w:val="clear" w:color="auto" w:fill="auto"/>
            <w:noWrap/>
            <w:vAlign w:val="center"/>
            <w:hideMark/>
          </w:tcPr>
          <w:p w14:paraId="739818B6"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201.151</w:t>
            </w:r>
          </w:p>
        </w:tc>
        <w:tc>
          <w:tcPr>
            <w:tcW w:w="1800" w:type="dxa"/>
            <w:shd w:val="clear" w:color="auto" w:fill="auto"/>
            <w:noWrap/>
            <w:vAlign w:val="center"/>
            <w:hideMark/>
          </w:tcPr>
          <w:p w14:paraId="2CF8E538"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61.561</w:t>
            </w:r>
          </w:p>
        </w:tc>
      </w:tr>
      <w:tr w:rsidR="009B6ECB" w:rsidRPr="00400DE6" w14:paraId="7257EEC3" w14:textId="77777777" w:rsidTr="0051100B">
        <w:trPr>
          <w:trHeight w:val="300"/>
        </w:trPr>
        <w:tc>
          <w:tcPr>
            <w:tcW w:w="1256" w:type="dxa"/>
            <w:vMerge/>
            <w:tcBorders>
              <w:top w:val="double" w:sz="4" w:space="0" w:color="auto"/>
              <w:bottom w:val="single" w:sz="4" w:space="0" w:color="auto"/>
            </w:tcBorders>
            <w:shd w:val="clear" w:color="auto" w:fill="auto"/>
            <w:noWrap/>
            <w:vAlign w:val="bottom"/>
            <w:hideMark/>
          </w:tcPr>
          <w:p w14:paraId="042033E3" w14:textId="77777777" w:rsidR="009B6ECB" w:rsidRPr="00400DE6" w:rsidRDefault="009B6ECB" w:rsidP="00EB5197">
            <w:pPr>
              <w:jc w:val="left"/>
              <w:rPr>
                <w:rFonts w:eastAsia="Times New Roman" w:cs="Times New Roman"/>
                <w:color w:val="000000"/>
                <w:szCs w:val="24"/>
              </w:rPr>
            </w:pPr>
          </w:p>
        </w:tc>
        <w:tc>
          <w:tcPr>
            <w:tcW w:w="4489" w:type="dxa"/>
            <w:tcBorders>
              <w:bottom w:val="single" w:sz="4" w:space="0" w:color="auto"/>
            </w:tcBorders>
            <w:shd w:val="clear" w:color="auto" w:fill="auto"/>
            <w:noWrap/>
            <w:vAlign w:val="center"/>
            <w:hideMark/>
          </w:tcPr>
          <w:p w14:paraId="7CB51907" w14:textId="6A11A247" w:rsidR="009B6ECB" w:rsidRPr="00400DE6" w:rsidRDefault="00AF310C" w:rsidP="00EB5197">
            <w:pPr>
              <w:jc w:val="left"/>
              <w:rPr>
                <w:rFonts w:eastAsia="Times New Roman" w:cs="Times New Roman"/>
                <w:color w:val="000000"/>
                <w:szCs w:val="24"/>
              </w:rPr>
            </w:pPr>
            <w:r>
              <w:rPr>
                <w:rFonts w:eastAsia="Times New Roman" w:cs="Times New Roman"/>
                <w:color w:val="000000"/>
                <w:szCs w:val="24"/>
              </w:rPr>
              <w:t>U</w:t>
            </w:r>
            <w:r w:rsidRPr="00AF310C">
              <w:rPr>
                <w:rFonts w:eastAsia="Times New Roman" w:cs="Times New Roman"/>
                <w:color w:val="000000"/>
                <w:szCs w:val="24"/>
              </w:rPr>
              <w:t>ni-directional mixed linear model</w:t>
            </w:r>
          </w:p>
        </w:tc>
        <w:tc>
          <w:tcPr>
            <w:tcW w:w="1710" w:type="dxa"/>
            <w:tcBorders>
              <w:bottom w:val="single" w:sz="4" w:space="0" w:color="auto"/>
            </w:tcBorders>
            <w:shd w:val="clear" w:color="auto" w:fill="auto"/>
            <w:noWrap/>
            <w:vAlign w:val="center"/>
            <w:hideMark/>
          </w:tcPr>
          <w:p w14:paraId="4A8E1143"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189.49</w:t>
            </w:r>
          </w:p>
        </w:tc>
        <w:tc>
          <w:tcPr>
            <w:tcW w:w="1800" w:type="dxa"/>
            <w:tcBorders>
              <w:bottom w:val="single" w:sz="4" w:space="0" w:color="auto"/>
            </w:tcBorders>
            <w:shd w:val="clear" w:color="auto" w:fill="auto"/>
            <w:noWrap/>
            <w:vAlign w:val="center"/>
            <w:hideMark/>
          </w:tcPr>
          <w:p w14:paraId="47390A96"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53.871</w:t>
            </w:r>
          </w:p>
        </w:tc>
      </w:tr>
      <w:tr w:rsidR="009B6ECB" w:rsidRPr="00400DE6" w14:paraId="7C2939D0" w14:textId="77777777" w:rsidTr="0051100B">
        <w:trPr>
          <w:trHeight w:val="300"/>
        </w:trPr>
        <w:tc>
          <w:tcPr>
            <w:tcW w:w="1256" w:type="dxa"/>
            <w:vMerge/>
            <w:tcBorders>
              <w:top w:val="double" w:sz="4" w:space="0" w:color="auto"/>
              <w:bottom w:val="single" w:sz="4" w:space="0" w:color="auto"/>
            </w:tcBorders>
            <w:shd w:val="clear" w:color="auto" w:fill="auto"/>
            <w:noWrap/>
            <w:vAlign w:val="bottom"/>
            <w:hideMark/>
          </w:tcPr>
          <w:p w14:paraId="326F999D" w14:textId="77777777" w:rsidR="009B6ECB" w:rsidRPr="00400DE6" w:rsidRDefault="009B6ECB" w:rsidP="00EB5197">
            <w:pPr>
              <w:jc w:val="left"/>
              <w:rPr>
                <w:rFonts w:eastAsia="Times New Roman" w:cs="Times New Roman"/>
                <w:color w:val="000000"/>
                <w:szCs w:val="24"/>
              </w:rPr>
            </w:pPr>
          </w:p>
        </w:tc>
        <w:tc>
          <w:tcPr>
            <w:tcW w:w="4489" w:type="dxa"/>
            <w:tcBorders>
              <w:top w:val="single" w:sz="4" w:space="0" w:color="auto"/>
              <w:bottom w:val="double" w:sz="4" w:space="0" w:color="auto"/>
            </w:tcBorders>
            <w:shd w:val="clear" w:color="auto" w:fill="auto"/>
            <w:noWrap/>
            <w:vAlign w:val="center"/>
            <w:hideMark/>
          </w:tcPr>
          <w:p w14:paraId="014DAEA8" w14:textId="4F3B40D5" w:rsidR="009B6ECB" w:rsidRPr="00400DE6" w:rsidRDefault="00AF310C" w:rsidP="00EB5197">
            <w:pPr>
              <w:jc w:val="left"/>
              <w:rPr>
                <w:rFonts w:eastAsia="Times New Roman" w:cs="Times New Roman"/>
                <w:color w:val="000000"/>
                <w:szCs w:val="24"/>
              </w:rPr>
            </w:pPr>
            <w:r>
              <w:rPr>
                <w:rFonts w:eastAsia="Times New Roman" w:cs="Times New Roman"/>
                <w:color w:val="000000"/>
                <w:szCs w:val="24"/>
              </w:rPr>
              <w:t>J</w:t>
            </w:r>
            <w:r w:rsidRPr="00AF310C">
              <w:rPr>
                <w:rFonts w:eastAsia="Times New Roman" w:cs="Times New Roman"/>
                <w:color w:val="000000"/>
                <w:szCs w:val="24"/>
              </w:rPr>
              <w:t xml:space="preserve">oint bi-directional mixed model </w:t>
            </w:r>
          </w:p>
        </w:tc>
        <w:tc>
          <w:tcPr>
            <w:tcW w:w="1710" w:type="dxa"/>
            <w:tcBorders>
              <w:top w:val="single" w:sz="4" w:space="0" w:color="auto"/>
              <w:bottom w:val="double" w:sz="4" w:space="0" w:color="auto"/>
            </w:tcBorders>
            <w:shd w:val="clear" w:color="auto" w:fill="auto"/>
            <w:noWrap/>
            <w:vAlign w:val="center"/>
            <w:hideMark/>
          </w:tcPr>
          <w:p w14:paraId="1C320EB8" w14:textId="77777777"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89.167</w:t>
            </w:r>
          </w:p>
        </w:tc>
        <w:tc>
          <w:tcPr>
            <w:tcW w:w="1800" w:type="dxa"/>
            <w:tcBorders>
              <w:top w:val="single" w:sz="4" w:space="0" w:color="auto"/>
              <w:bottom w:val="double" w:sz="4" w:space="0" w:color="auto"/>
            </w:tcBorders>
            <w:shd w:val="clear" w:color="auto" w:fill="auto"/>
            <w:noWrap/>
            <w:vAlign w:val="center"/>
            <w:hideMark/>
          </w:tcPr>
          <w:p w14:paraId="476B5859" w14:textId="11C42F24" w:rsidR="009B6ECB" w:rsidRPr="00400DE6" w:rsidRDefault="009B6ECB" w:rsidP="00EB5197">
            <w:pPr>
              <w:jc w:val="left"/>
              <w:rPr>
                <w:rFonts w:eastAsia="Times New Roman" w:cs="Times New Roman"/>
                <w:color w:val="000000"/>
                <w:szCs w:val="24"/>
              </w:rPr>
            </w:pPr>
            <w:r w:rsidRPr="00400DE6">
              <w:rPr>
                <w:rFonts w:eastAsia="Times New Roman" w:cs="Times New Roman"/>
                <w:color w:val="000000"/>
                <w:szCs w:val="24"/>
              </w:rPr>
              <w:t>42.99</w:t>
            </w:r>
            <w:r w:rsidR="00980081">
              <w:rPr>
                <w:rFonts w:eastAsia="Times New Roman" w:cs="Times New Roman"/>
                <w:color w:val="000000"/>
                <w:szCs w:val="24"/>
              </w:rPr>
              <w:t>0</w:t>
            </w:r>
          </w:p>
        </w:tc>
      </w:tr>
      <w:tr w:rsidR="0051100B" w:rsidRPr="00400DE6" w14:paraId="65AE6E26" w14:textId="77777777" w:rsidTr="0051100B">
        <w:trPr>
          <w:trHeight w:val="300"/>
        </w:trPr>
        <w:tc>
          <w:tcPr>
            <w:tcW w:w="1256" w:type="dxa"/>
            <w:vMerge w:val="restart"/>
            <w:tcBorders>
              <w:top w:val="double" w:sz="4" w:space="0" w:color="auto"/>
              <w:bottom w:val="single" w:sz="4" w:space="0" w:color="auto"/>
            </w:tcBorders>
            <w:shd w:val="clear" w:color="auto" w:fill="auto"/>
            <w:noWrap/>
            <w:vAlign w:val="center"/>
            <w:hideMark/>
          </w:tcPr>
          <w:p w14:paraId="549BE33D" w14:textId="77777777"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Validation</w:t>
            </w:r>
          </w:p>
        </w:tc>
        <w:tc>
          <w:tcPr>
            <w:tcW w:w="4489" w:type="dxa"/>
            <w:tcBorders>
              <w:top w:val="double" w:sz="4" w:space="0" w:color="auto"/>
            </w:tcBorders>
            <w:shd w:val="clear" w:color="auto" w:fill="auto"/>
            <w:noWrap/>
            <w:vAlign w:val="center"/>
            <w:hideMark/>
          </w:tcPr>
          <w:p w14:paraId="16786129" w14:textId="70D9F40B" w:rsidR="0051100B" w:rsidRPr="00400DE6" w:rsidRDefault="0051100B" w:rsidP="00EB5197">
            <w:pPr>
              <w:jc w:val="left"/>
              <w:rPr>
                <w:rFonts w:eastAsia="Times New Roman" w:cs="Times New Roman"/>
                <w:color w:val="000000"/>
                <w:szCs w:val="24"/>
              </w:rPr>
            </w:pPr>
            <w:r>
              <w:rPr>
                <w:rFonts w:eastAsia="Times New Roman" w:cs="Times New Roman"/>
                <w:color w:val="000000"/>
                <w:szCs w:val="24"/>
              </w:rPr>
              <w:t>U</w:t>
            </w:r>
            <w:r w:rsidRPr="00AF310C">
              <w:rPr>
                <w:rFonts w:eastAsia="Times New Roman" w:cs="Times New Roman"/>
                <w:color w:val="000000"/>
                <w:szCs w:val="24"/>
              </w:rPr>
              <w:t>ni -directional linear regression model</w:t>
            </w:r>
            <w:r>
              <w:rPr>
                <w:rFonts w:eastAsia="Times New Roman" w:cs="Times New Roman"/>
                <w:color w:val="000000"/>
                <w:szCs w:val="24"/>
              </w:rPr>
              <w:t xml:space="preserve"> </w:t>
            </w:r>
          </w:p>
        </w:tc>
        <w:tc>
          <w:tcPr>
            <w:tcW w:w="1710" w:type="dxa"/>
            <w:tcBorders>
              <w:top w:val="double" w:sz="4" w:space="0" w:color="auto"/>
            </w:tcBorders>
            <w:shd w:val="clear" w:color="auto" w:fill="auto"/>
            <w:noWrap/>
            <w:vAlign w:val="center"/>
            <w:hideMark/>
          </w:tcPr>
          <w:p w14:paraId="23341646" w14:textId="77777777"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239.981</w:t>
            </w:r>
          </w:p>
        </w:tc>
        <w:tc>
          <w:tcPr>
            <w:tcW w:w="1800" w:type="dxa"/>
            <w:tcBorders>
              <w:top w:val="double" w:sz="4" w:space="0" w:color="auto"/>
            </w:tcBorders>
            <w:shd w:val="clear" w:color="auto" w:fill="auto"/>
            <w:noWrap/>
            <w:vAlign w:val="center"/>
            <w:hideMark/>
          </w:tcPr>
          <w:p w14:paraId="20472DA2" w14:textId="2E5131DA"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76.34</w:t>
            </w:r>
            <w:r>
              <w:rPr>
                <w:rFonts w:eastAsia="Times New Roman" w:cs="Times New Roman"/>
                <w:color w:val="000000"/>
                <w:szCs w:val="24"/>
              </w:rPr>
              <w:t>0</w:t>
            </w:r>
          </w:p>
        </w:tc>
      </w:tr>
      <w:tr w:rsidR="0051100B" w:rsidRPr="00400DE6" w14:paraId="1A8272F3" w14:textId="77777777" w:rsidTr="0051100B">
        <w:trPr>
          <w:trHeight w:val="300"/>
        </w:trPr>
        <w:tc>
          <w:tcPr>
            <w:tcW w:w="1256" w:type="dxa"/>
            <w:vMerge/>
            <w:tcBorders>
              <w:top w:val="double" w:sz="4" w:space="0" w:color="auto"/>
              <w:bottom w:val="single" w:sz="4" w:space="0" w:color="auto"/>
            </w:tcBorders>
            <w:shd w:val="clear" w:color="auto" w:fill="auto"/>
            <w:noWrap/>
            <w:vAlign w:val="bottom"/>
            <w:hideMark/>
          </w:tcPr>
          <w:p w14:paraId="6FC4A0E3" w14:textId="77777777" w:rsidR="0051100B" w:rsidRPr="00400DE6" w:rsidRDefault="0051100B" w:rsidP="00EB5197">
            <w:pPr>
              <w:jc w:val="left"/>
              <w:rPr>
                <w:rFonts w:eastAsia="Times New Roman" w:cs="Times New Roman"/>
                <w:color w:val="000000"/>
                <w:szCs w:val="24"/>
              </w:rPr>
            </w:pPr>
          </w:p>
        </w:tc>
        <w:tc>
          <w:tcPr>
            <w:tcW w:w="4489" w:type="dxa"/>
            <w:shd w:val="clear" w:color="auto" w:fill="auto"/>
            <w:noWrap/>
            <w:vAlign w:val="center"/>
            <w:hideMark/>
          </w:tcPr>
          <w:p w14:paraId="3EA2A4E8" w14:textId="29AEB68A" w:rsidR="0051100B" w:rsidRPr="00400DE6" w:rsidRDefault="0051100B" w:rsidP="00EB5197">
            <w:pPr>
              <w:jc w:val="left"/>
              <w:rPr>
                <w:rFonts w:eastAsia="Times New Roman" w:cs="Times New Roman"/>
                <w:color w:val="000000"/>
                <w:szCs w:val="24"/>
              </w:rPr>
            </w:pPr>
            <w:r>
              <w:rPr>
                <w:rFonts w:eastAsia="Times New Roman" w:cs="Times New Roman"/>
                <w:color w:val="000000"/>
                <w:szCs w:val="24"/>
              </w:rPr>
              <w:t>U</w:t>
            </w:r>
            <w:r w:rsidRPr="00AF310C">
              <w:rPr>
                <w:rFonts w:eastAsia="Times New Roman" w:cs="Times New Roman"/>
                <w:color w:val="000000"/>
                <w:szCs w:val="24"/>
              </w:rPr>
              <w:t>ni-directional mixed linear model</w:t>
            </w:r>
          </w:p>
        </w:tc>
        <w:tc>
          <w:tcPr>
            <w:tcW w:w="1710" w:type="dxa"/>
            <w:shd w:val="clear" w:color="auto" w:fill="auto"/>
            <w:noWrap/>
            <w:vAlign w:val="center"/>
            <w:hideMark/>
          </w:tcPr>
          <w:p w14:paraId="009D3040" w14:textId="77777777"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222.891</w:t>
            </w:r>
          </w:p>
        </w:tc>
        <w:tc>
          <w:tcPr>
            <w:tcW w:w="1800" w:type="dxa"/>
            <w:shd w:val="clear" w:color="auto" w:fill="auto"/>
            <w:noWrap/>
            <w:vAlign w:val="center"/>
            <w:hideMark/>
          </w:tcPr>
          <w:p w14:paraId="2950C42B" w14:textId="7BF238E4"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66.91</w:t>
            </w:r>
            <w:r>
              <w:rPr>
                <w:rFonts w:eastAsia="Times New Roman" w:cs="Times New Roman"/>
                <w:color w:val="000000"/>
                <w:szCs w:val="24"/>
              </w:rPr>
              <w:t>0</w:t>
            </w:r>
          </w:p>
        </w:tc>
      </w:tr>
      <w:tr w:rsidR="0051100B" w:rsidRPr="00400DE6" w14:paraId="4EA0BDF3" w14:textId="77777777" w:rsidTr="004139B9">
        <w:trPr>
          <w:trHeight w:val="300"/>
        </w:trPr>
        <w:tc>
          <w:tcPr>
            <w:tcW w:w="1256" w:type="dxa"/>
            <w:vMerge/>
            <w:tcBorders>
              <w:top w:val="double" w:sz="4" w:space="0" w:color="auto"/>
              <w:bottom w:val="double" w:sz="4" w:space="0" w:color="auto"/>
            </w:tcBorders>
            <w:shd w:val="clear" w:color="auto" w:fill="auto"/>
            <w:noWrap/>
            <w:vAlign w:val="bottom"/>
            <w:hideMark/>
          </w:tcPr>
          <w:p w14:paraId="1980A4A4" w14:textId="77777777" w:rsidR="0051100B" w:rsidRPr="00400DE6" w:rsidRDefault="0051100B" w:rsidP="00EB5197">
            <w:pPr>
              <w:jc w:val="left"/>
              <w:rPr>
                <w:rFonts w:eastAsia="Times New Roman" w:cs="Times New Roman"/>
                <w:color w:val="000000"/>
                <w:szCs w:val="24"/>
              </w:rPr>
            </w:pPr>
          </w:p>
        </w:tc>
        <w:tc>
          <w:tcPr>
            <w:tcW w:w="4489" w:type="dxa"/>
            <w:tcBorders>
              <w:bottom w:val="double" w:sz="4" w:space="0" w:color="auto"/>
            </w:tcBorders>
            <w:shd w:val="clear" w:color="auto" w:fill="auto"/>
            <w:noWrap/>
            <w:vAlign w:val="center"/>
            <w:hideMark/>
          </w:tcPr>
          <w:p w14:paraId="5D001542" w14:textId="6CFB80E8" w:rsidR="0051100B" w:rsidRPr="00400DE6" w:rsidRDefault="0051100B" w:rsidP="00EB5197">
            <w:pPr>
              <w:jc w:val="left"/>
              <w:rPr>
                <w:rFonts w:eastAsia="Times New Roman" w:cs="Times New Roman"/>
                <w:color w:val="000000"/>
                <w:szCs w:val="24"/>
              </w:rPr>
            </w:pPr>
            <w:r>
              <w:rPr>
                <w:rFonts w:eastAsia="Times New Roman" w:cs="Times New Roman"/>
                <w:color w:val="000000"/>
                <w:szCs w:val="24"/>
              </w:rPr>
              <w:t>J</w:t>
            </w:r>
            <w:r w:rsidRPr="00AF310C">
              <w:rPr>
                <w:rFonts w:eastAsia="Times New Roman" w:cs="Times New Roman"/>
                <w:color w:val="000000"/>
                <w:szCs w:val="24"/>
              </w:rPr>
              <w:t xml:space="preserve">oint bi-directional mixed model </w:t>
            </w:r>
          </w:p>
        </w:tc>
        <w:tc>
          <w:tcPr>
            <w:tcW w:w="1710" w:type="dxa"/>
            <w:tcBorders>
              <w:bottom w:val="double" w:sz="4" w:space="0" w:color="auto"/>
            </w:tcBorders>
            <w:shd w:val="clear" w:color="auto" w:fill="auto"/>
            <w:noWrap/>
            <w:vAlign w:val="center"/>
            <w:hideMark/>
          </w:tcPr>
          <w:p w14:paraId="673C70A5" w14:textId="77777777"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100.674</w:t>
            </w:r>
          </w:p>
        </w:tc>
        <w:tc>
          <w:tcPr>
            <w:tcW w:w="1800" w:type="dxa"/>
            <w:tcBorders>
              <w:bottom w:val="double" w:sz="4" w:space="0" w:color="auto"/>
            </w:tcBorders>
            <w:shd w:val="clear" w:color="auto" w:fill="auto"/>
            <w:noWrap/>
            <w:vAlign w:val="center"/>
            <w:hideMark/>
          </w:tcPr>
          <w:p w14:paraId="14BA6AD2" w14:textId="167D9055" w:rsidR="0051100B" w:rsidRPr="00400DE6" w:rsidRDefault="0051100B" w:rsidP="00EB5197">
            <w:pPr>
              <w:jc w:val="left"/>
              <w:rPr>
                <w:rFonts w:eastAsia="Times New Roman" w:cs="Times New Roman"/>
                <w:color w:val="000000"/>
                <w:szCs w:val="24"/>
              </w:rPr>
            </w:pPr>
            <w:r w:rsidRPr="00400DE6">
              <w:rPr>
                <w:rFonts w:eastAsia="Times New Roman" w:cs="Times New Roman"/>
                <w:color w:val="000000"/>
                <w:szCs w:val="24"/>
              </w:rPr>
              <w:t>56.11</w:t>
            </w:r>
            <w:r>
              <w:rPr>
                <w:rFonts w:eastAsia="Times New Roman" w:cs="Times New Roman"/>
                <w:color w:val="000000"/>
                <w:szCs w:val="24"/>
              </w:rPr>
              <w:t>0</w:t>
            </w:r>
          </w:p>
        </w:tc>
      </w:tr>
    </w:tbl>
    <w:p w14:paraId="5E8FA30C" w14:textId="77777777" w:rsidR="00400DE6" w:rsidRDefault="00400DE6" w:rsidP="00EB5197">
      <w:pPr>
        <w:rPr>
          <w:rFonts w:eastAsiaTheme="minorEastAsia"/>
        </w:rPr>
      </w:pPr>
    </w:p>
    <w:p w14:paraId="22E843A5" w14:textId="77777777" w:rsidR="005812F1" w:rsidRDefault="005812F1" w:rsidP="00EB5197">
      <w:pPr>
        <w:pStyle w:val="Heading2"/>
      </w:pPr>
      <w:r>
        <w:t>Elasticity Effects</w:t>
      </w:r>
    </w:p>
    <w:p w14:paraId="1FEF07E8" w14:textId="5B5B19E3" w:rsidR="00CA4811" w:rsidRDefault="00CA4811" w:rsidP="00EB5197">
      <w:r w:rsidRPr="00CA4811">
        <w:t xml:space="preserve">To further assess the effectiveness and robustness of our proposed simultaneous modeling framework, we conducted an elasticity analysis comparing the </w:t>
      </w:r>
      <w:r w:rsidR="003B59DF">
        <w:t xml:space="preserve">elasticity impact of variables from </w:t>
      </w:r>
      <w:r w:rsidRPr="00CA4811">
        <w:t xml:space="preserve">joint bi-directional </w:t>
      </w:r>
      <w:r w:rsidR="0082759F">
        <w:t xml:space="preserve">model </w:t>
      </w:r>
      <w:r>
        <w:t xml:space="preserve">with </w:t>
      </w:r>
      <w:r w:rsidR="003B59DF" w:rsidRPr="00CA4811">
        <w:t xml:space="preserve">the </w:t>
      </w:r>
      <w:r w:rsidR="003B59DF">
        <w:t xml:space="preserve">elasticity impact of variables from </w:t>
      </w:r>
      <w:r>
        <w:t xml:space="preserve">its </w:t>
      </w:r>
      <w:proofErr w:type="spellStart"/>
      <w:r w:rsidRPr="00CA4811">
        <w:t>uni</w:t>
      </w:r>
      <w:proofErr w:type="spellEnd"/>
      <w:r w:rsidRPr="00CA4811">
        <w:t>-directional counterparts</w:t>
      </w:r>
      <w:r>
        <w:t>.</w:t>
      </w:r>
      <w:r w:rsidRPr="00CA4811">
        <w:t xml:space="preserve"> </w:t>
      </w:r>
      <w:r w:rsidRPr="00A01453">
        <w:t xml:space="preserve">This </w:t>
      </w:r>
      <w:r>
        <w:t xml:space="preserve">comparison exercise will </w:t>
      </w:r>
      <w:r w:rsidR="0082759F">
        <w:t xml:space="preserve">uncover the pitfalls of </w:t>
      </w:r>
      <w:proofErr w:type="spellStart"/>
      <w:r w:rsidR="0082759F">
        <w:t>uni</w:t>
      </w:r>
      <w:proofErr w:type="spellEnd"/>
      <w:r w:rsidR="0082759F">
        <w:t xml:space="preserve">-directional models and highlight the advantages offered by the bi-directional model. To that extent, </w:t>
      </w:r>
      <w:r w:rsidRPr="00CA4811">
        <w:t xml:space="preserve">we compute aggregate level elasticity effects for both </w:t>
      </w:r>
      <w:r>
        <w:t>BJMLR</w:t>
      </w:r>
      <w:r w:rsidRPr="00CA4811">
        <w:t xml:space="preserve"> and </w:t>
      </w:r>
      <w:r>
        <w:t>UMLR</w:t>
      </w:r>
      <w:r w:rsidRPr="00CA4811">
        <w:t xml:space="preserve"> models. In particular, we estimate the percentage change in the expected </w:t>
      </w:r>
      <w:r>
        <w:t xml:space="preserve">COVID -19 transmission and weekly mobility pattern </w:t>
      </w:r>
      <w:r w:rsidRPr="00CA4811">
        <w:t xml:space="preserve"> in response to the increase of the explanatory variable by 1</w:t>
      </w:r>
      <w:r w:rsidR="00C262D9">
        <w:t>0</w:t>
      </w:r>
      <w:r w:rsidRPr="00CA4811">
        <w:t xml:space="preserve">% (see (25, 26) for a discussion on the methodology for computing elasticities). For this purpose, we identify a subset of exogenous variables including </w:t>
      </w:r>
      <w:r>
        <w:t>COVID transmission rate, weekly mobility, percentage of young and senior people and no. airports</w:t>
      </w:r>
      <w:r w:rsidRPr="00CA4811">
        <w:t xml:space="preserve"> </w:t>
      </w:r>
      <w:r>
        <w:t xml:space="preserve">in the county. </w:t>
      </w:r>
      <w:r w:rsidR="0082759F">
        <w:t>The elasticity analysis results</w:t>
      </w:r>
      <w:r w:rsidR="003B59DF">
        <w:t xml:space="preserve"> comparing the UMLR and JBMLR models</w:t>
      </w:r>
      <w:r w:rsidR="0082759F">
        <w:t xml:space="preserve"> are presented in Table 4. </w:t>
      </w:r>
    </w:p>
    <w:p w14:paraId="0D526DFC" w14:textId="77777777" w:rsidR="0082759F" w:rsidRDefault="0082759F" w:rsidP="00EB5197">
      <w:pPr>
        <w:pStyle w:val="Caption"/>
        <w:spacing w:line="276" w:lineRule="auto"/>
        <w:jc w:val="both"/>
      </w:pPr>
    </w:p>
    <w:p w14:paraId="40D5A23B" w14:textId="40599513" w:rsidR="0082759F" w:rsidRPr="0082759F" w:rsidRDefault="0082759F" w:rsidP="00EB5197">
      <w:pPr>
        <w:pStyle w:val="Caption"/>
        <w:spacing w:line="276" w:lineRule="auto"/>
        <w:jc w:val="both"/>
        <w:rPr>
          <w:rFonts w:eastAsia="Times New Roman" w:cs="Times New Roman"/>
          <w:b w:val="0"/>
          <w:bCs/>
          <w:color w:val="000000"/>
          <w:szCs w:val="24"/>
          <w:lang w:val="en-US"/>
        </w:rPr>
      </w:pPr>
      <w:r>
        <w:lastRenderedPageBreak/>
        <w:t xml:space="preserve">Table </w:t>
      </w:r>
      <w:r w:rsidR="00B3748E">
        <w:t>4</w:t>
      </w:r>
      <w:r>
        <w:t xml:space="preserve">: </w:t>
      </w:r>
      <w:r w:rsidRPr="0082759F">
        <w:rPr>
          <w:rFonts w:cs="Times New Roman"/>
          <w:b w:val="0"/>
          <w:bCs/>
        </w:rPr>
        <w:t>Elasticity Effects Across Two Models (</w:t>
      </w:r>
      <w:r w:rsidRPr="00E77699">
        <w:rPr>
          <w:rFonts w:eastAsia="Times New Roman" w:cs="Times New Roman"/>
          <w:b w:val="0"/>
          <w:bCs/>
          <w:color w:val="000000"/>
          <w:szCs w:val="24"/>
        </w:rPr>
        <w:t>UMLRs</w:t>
      </w:r>
      <w:r w:rsidRPr="0082759F">
        <w:rPr>
          <w:rFonts w:cs="Times New Roman"/>
          <w:b w:val="0"/>
          <w:bCs/>
        </w:rPr>
        <w:t xml:space="preserve"> and </w:t>
      </w:r>
      <w:r w:rsidRPr="00E77699">
        <w:rPr>
          <w:rFonts w:eastAsia="Times New Roman" w:cs="Times New Roman"/>
          <w:b w:val="0"/>
          <w:bCs/>
          <w:color w:val="000000"/>
          <w:szCs w:val="24"/>
        </w:rPr>
        <w:t>JBMLR</w:t>
      </w:r>
      <w:r w:rsidRPr="0082759F">
        <w:rPr>
          <w:rFonts w:cs="Times New Roman"/>
          <w:b w:val="0"/>
          <w:bCs/>
        </w:rPr>
        <w:t>)</w:t>
      </w:r>
    </w:p>
    <w:tbl>
      <w:tblPr>
        <w:tblW w:w="479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648"/>
        <w:gridCol w:w="1077"/>
        <w:gridCol w:w="1057"/>
        <w:gridCol w:w="1100"/>
        <w:gridCol w:w="1057"/>
      </w:tblGrid>
      <w:tr w:rsidR="00361A79" w:rsidRPr="00E77699" w14:paraId="4D4F3A83" w14:textId="77777777" w:rsidTr="00B514FC">
        <w:trPr>
          <w:trHeight w:val="300"/>
        </w:trPr>
        <w:tc>
          <w:tcPr>
            <w:tcW w:w="4648" w:type="dxa"/>
            <w:vMerge w:val="restart"/>
            <w:shd w:val="clear" w:color="auto" w:fill="auto"/>
            <w:noWrap/>
            <w:vAlign w:val="center"/>
            <w:hideMark/>
          </w:tcPr>
          <w:p w14:paraId="7F52372A"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Variables/Model</w:t>
            </w:r>
          </w:p>
        </w:tc>
        <w:tc>
          <w:tcPr>
            <w:tcW w:w="2134" w:type="dxa"/>
            <w:gridSpan w:val="2"/>
            <w:tcBorders>
              <w:top w:val="double" w:sz="4" w:space="0" w:color="auto"/>
              <w:bottom w:val="single" w:sz="4" w:space="0" w:color="auto"/>
              <w:right w:val="double" w:sz="4" w:space="0" w:color="auto"/>
            </w:tcBorders>
            <w:shd w:val="clear" w:color="auto" w:fill="auto"/>
            <w:noWrap/>
            <w:vAlign w:val="bottom"/>
            <w:hideMark/>
          </w:tcPr>
          <w:p w14:paraId="101B3D79" w14:textId="77777777" w:rsidR="0082759F" w:rsidRPr="00E77699" w:rsidRDefault="0082759F" w:rsidP="00EB5197">
            <w:pPr>
              <w:jc w:val="center"/>
              <w:rPr>
                <w:rFonts w:eastAsia="Times New Roman" w:cs="Times New Roman"/>
                <w:color w:val="000000"/>
                <w:szCs w:val="24"/>
              </w:rPr>
            </w:pPr>
            <w:r w:rsidRPr="00E77699">
              <w:rPr>
                <w:rFonts w:eastAsia="Times New Roman" w:cs="Times New Roman"/>
                <w:color w:val="000000"/>
                <w:szCs w:val="24"/>
              </w:rPr>
              <w:t>UMLRs</w:t>
            </w:r>
          </w:p>
        </w:tc>
        <w:tc>
          <w:tcPr>
            <w:tcW w:w="2157" w:type="dxa"/>
            <w:gridSpan w:val="2"/>
            <w:tcBorders>
              <w:left w:val="double" w:sz="4" w:space="0" w:color="auto"/>
            </w:tcBorders>
            <w:shd w:val="clear" w:color="auto" w:fill="auto"/>
            <w:noWrap/>
            <w:vAlign w:val="bottom"/>
            <w:hideMark/>
          </w:tcPr>
          <w:p w14:paraId="0011FE23" w14:textId="77777777" w:rsidR="0082759F" w:rsidRPr="00E77699" w:rsidRDefault="0082759F" w:rsidP="00EB5197">
            <w:pPr>
              <w:jc w:val="center"/>
              <w:rPr>
                <w:rFonts w:eastAsia="Times New Roman" w:cs="Times New Roman"/>
                <w:color w:val="000000"/>
                <w:szCs w:val="24"/>
              </w:rPr>
            </w:pPr>
            <w:r w:rsidRPr="00E77699">
              <w:rPr>
                <w:rFonts w:eastAsia="Times New Roman" w:cs="Times New Roman"/>
                <w:color w:val="000000"/>
                <w:szCs w:val="24"/>
              </w:rPr>
              <w:t>JBMLR</w:t>
            </w:r>
          </w:p>
        </w:tc>
      </w:tr>
      <w:tr w:rsidR="00361A79" w:rsidRPr="00E77699" w14:paraId="78215761" w14:textId="77777777" w:rsidTr="00B514FC">
        <w:trPr>
          <w:trHeight w:val="315"/>
        </w:trPr>
        <w:tc>
          <w:tcPr>
            <w:tcW w:w="4648" w:type="dxa"/>
            <w:vMerge/>
            <w:vAlign w:val="center"/>
            <w:hideMark/>
          </w:tcPr>
          <w:p w14:paraId="73849D76" w14:textId="77777777" w:rsidR="0082759F" w:rsidRPr="00E77699" w:rsidRDefault="0082759F" w:rsidP="00EB5197">
            <w:pPr>
              <w:jc w:val="left"/>
              <w:rPr>
                <w:rFonts w:eastAsia="Times New Roman" w:cs="Times New Roman"/>
                <w:color w:val="000000"/>
                <w:szCs w:val="24"/>
              </w:rPr>
            </w:pPr>
          </w:p>
        </w:tc>
        <w:tc>
          <w:tcPr>
            <w:tcW w:w="1077" w:type="dxa"/>
            <w:tcBorders>
              <w:top w:val="single" w:sz="4" w:space="0" w:color="auto"/>
              <w:bottom w:val="single" w:sz="4" w:space="0" w:color="auto"/>
            </w:tcBorders>
            <w:shd w:val="clear" w:color="auto" w:fill="auto"/>
            <w:noWrap/>
            <w:vAlign w:val="bottom"/>
            <w:hideMark/>
          </w:tcPr>
          <w:p w14:paraId="4199B898"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Covid Model</w:t>
            </w:r>
          </w:p>
        </w:tc>
        <w:tc>
          <w:tcPr>
            <w:tcW w:w="1057" w:type="dxa"/>
            <w:tcBorders>
              <w:top w:val="single" w:sz="4" w:space="0" w:color="auto"/>
              <w:bottom w:val="single" w:sz="4" w:space="0" w:color="auto"/>
              <w:right w:val="double" w:sz="4" w:space="0" w:color="auto"/>
            </w:tcBorders>
            <w:shd w:val="clear" w:color="auto" w:fill="auto"/>
            <w:noWrap/>
            <w:vAlign w:val="bottom"/>
            <w:hideMark/>
          </w:tcPr>
          <w:p w14:paraId="414B7B75"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Mobility Model</w:t>
            </w:r>
          </w:p>
        </w:tc>
        <w:tc>
          <w:tcPr>
            <w:tcW w:w="1100" w:type="dxa"/>
            <w:tcBorders>
              <w:left w:val="double" w:sz="4" w:space="0" w:color="auto"/>
            </w:tcBorders>
            <w:shd w:val="clear" w:color="auto" w:fill="auto"/>
            <w:noWrap/>
            <w:vAlign w:val="bottom"/>
            <w:hideMark/>
          </w:tcPr>
          <w:p w14:paraId="07CC01FD"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Covid Model</w:t>
            </w:r>
          </w:p>
        </w:tc>
        <w:tc>
          <w:tcPr>
            <w:tcW w:w="1057" w:type="dxa"/>
            <w:shd w:val="clear" w:color="auto" w:fill="auto"/>
            <w:noWrap/>
            <w:vAlign w:val="bottom"/>
            <w:hideMark/>
          </w:tcPr>
          <w:p w14:paraId="3874E927"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Mobility Model</w:t>
            </w:r>
          </w:p>
        </w:tc>
      </w:tr>
      <w:tr w:rsidR="00361A79" w:rsidRPr="00E77699" w14:paraId="37D8BF95" w14:textId="77777777" w:rsidTr="00B514FC">
        <w:trPr>
          <w:trHeight w:val="345"/>
        </w:trPr>
        <w:tc>
          <w:tcPr>
            <w:tcW w:w="4648" w:type="dxa"/>
            <w:shd w:val="clear" w:color="auto" w:fill="auto"/>
            <w:noWrap/>
            <w:vAlign w:val="center"/>
            <w:hideMark/>
          </w:tcPr>
          <w:p w14:paraId="322218C1"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Mobility, 2 weeks lag, in initial phase of pandemic</w:t>
            </w:r>
          </w:p>
        </w:tc>
        <w:tc>
          <w:tcPr>
            <w:tcW w:w="1077" w:type="dxa"/>
            <w:tcBorders>
              <w:top w:val="single" w:sz="4" w:space="0" w:color="auto"/>
              <w:bottom w:val="single" w:sz="4" w:space="0" w:color="auto"/>
            </w:tcBorders>
            <w:shd w:val="clear" w:color="auto" w:fill="auto"/>
            <w:noWrap/>
            <w:vAlign w:val="center"/>
            <w:hideMark/>
          </w:tcPr>
          <w:p w14:paraId="611C68F8" w14:textId="0EDE2E8B" w:rsidR="0082759F" w:rsidRPr="00E77699" w:rsidRDefault="00C262D9" w:rsidP="00EB5197">
            <w:pPr>
              <w:jc w:val="left"/>
              <w:rPr>
                <w:rFonts w:eastAsia="Times New Roman" w:cs="Times New Roman"/>
                <w:color w:val="000000"/>
                <w:szCs w:val="24"/>
              </w:rPr>
            </w:pPr>
            <w:r>
              <w:rPr>
                <w:rFonts w:eastAsia="Times New Roman" w:cs="Times New Roman"/>
                <w:color w:val="000000"/>
                <w:szCs w:val="24"/>
              </w:rPr>
              <w:t>1.94%</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19F3EF87" w14:textId="77777777" w:rsidR="0082759F" w:rsidRPr="00E77699" w:rsidRDefault="0082759F" w:rsidP="00EB5197">
            <w:pPr>
              <w:jc w:val="left"/>
              <w:rPr>
                <w:rFonts w:eastAsia="Times New Roman" w:cs="Times New Roman"/>
                <w:color w:val="000000"/>
                <w:szCs w:val="24"/>
              </w:rPr>
            </w:pPr>
            <w:r>
              <w:rPr>
                <w:rFonts w:eastAsia="Times New Roman" w:cs="Times New Roman"/>
                <w:color w:val="000000"/>
                <w:szCs w:val="24"/>
              </w:rPr>
              <w:t>--</w:t>
            </w:r>
          </w:p>
        </w:tc>
        <w:tc>
          <w:tcPr>
            <w:tcW w:w="1100" w:type="dxa"/>
            <w:tcBorders>
              <w:left w:val="double" w:sz="4" w:space="0" w:color="auto"/>
            </w:tcBorders>
            <w:shd w:val="clear" w:color="auto" w:fill="auto"/>
            <w:noWrap/>
            <w:vAlign w:val="center"/>
            <w:hideMark/>
          </w:tcPr>
          <w:p w14:paraId="3E38C411" w14:textId="5148FE72" w:rsidR="0082759F" w:rsidRPr="00E77699" w:rsidRDefault="00C262D9" w:rsidP="00EB5197">
            <w:pPr>
              <w:jc w:val="left"/>
              <w:rPr>
                <w:rFonts w:eastAsia="Times New Roman" w:cs="Times New Roman"/>
                <w:color w:val="000000"/>
                <w:szCs w:val="24"/>
              </w:rPr>
            </w:pPr>
            <w:r>
              <w:rPr>
                <w:rFonts w:eastAsia="Times New Roman" w:cs="Times New Roman"/>
                <w:color w:val="000000"/>
                <w:szCs w:val="24"/>
              </w:rPr>
              <w:t>2.04%</w:t>
            </w:r>
          </w:p>
        </w:tc>
        <w:tc>
          <w:tcPr>
            <w:tcW w:w="1057" w:type="dxa"/>
            <w:shd w:val="clear" w:color="auto" w:fill="auto"/>
            <w:noWrap/>
            <w:vAlign w:val="center"/>
            <w:hideMark/>
          </w:tcPr>
          <w:p w14:paraId="22C69898" w14:textId="77777777" w:rsidR="0082759F" w:rsidRPr="00E77699" w:rsidRDefault="0082759F" w:rsidP="00EB5197">
            <w:pPr>
              <w:jc w:val="left"/>
              <w:rPr>
                <w:rFonts w:eastAsia="Times New Roman" w:cs="Times New Roman"/>
                <w:color w:val="000000"/>
                <w:szCs w:val="24"/>
              </w:rPr>
            </w:pPr>
            <w:r>
              <w:rPr>
                <w:rFonts w:eastAsia="Times New Roman" w:cs="Times New Roman"/>
                <w:color w:val="000000"/>
                <w:szCs w:val="24"/>
              </w:rPr>
              <w:t>--</w:t>
            </w:r>
          </w:p>
        </w:tc>
      </w:tr>
      <w:tr w:rsidR="00361A79" w:rsidRPr="00E77699" w14:paraId="11983633" w14:textId="77777777" w:rsidTr="00B514FC">
        <w:trPr>
          <w:trHeight w:val="330"/>
        </w:trPr>
        <w:tc>
          <w:tcPr>
            <w:tcW w:w="4648" w:type="dxa"/>
            <w:shd w:val="clear" w:color="auto" w:fill="auto"/>
            <w:noWrap/>
            <w:vAlign w:val="center"/>
            <w:hideMark/>
          </w:tcPr>
          <w:p w14:paraId="113A9218"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Mobility, 2 weeks lag, in 1st and 2nd wave of pandemic</w:t>
            </w:r>
          </w:p>
        </w:tc>
        <w:tc>
          <w:tcPr>
            <w:tcW w:w="1077" w:type="dxa"/>
            <w:tcBorders>
              <w:top w:val="single" w:sz="4" w:space="0" w:color="auto"/>
              <w:bottom w:val="single" w:sz="4" w:space="0" w:color="auto"/>
            </w:tcBorders>
            <w:shd w:val="clear" w:color="auto" w:fill="auto"/>
            <w:noWrap/>
            <w:vAlign w:val="center"/>
            <w:hideMark/>
          </w:tcPr>
          <w:p w14:paraId="0F0369D4" w14:textId="548704B7" w:rsidR="0082759F" w:rsidRPr="00E77699" w:rsidRDefault="00C262D9" w:rsidP="00EB5197">
            <w:pPr>
              <w:jc w:val="left"/>
              <w:rPr>
                <w:rFonts w:eastAsia="Times New Roman" w:cs="Times New Roman"/>
                <w:color w:val="000000"/>
                <w:szCs w:val="24"/>
              </w:rPr>
            </w:pPr>
            <w:r>
              <w:rPr>
                <w:rFonts w:eastAsia="Times New Roman" w:cs="Times New Roman"/>
                <w:color w:val="000000"/>
                <w:szCs w:val="24"/>
              </w:rPr>
              <w:t>5.31%</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10FFABF5" w14:textId="77777777" w:rsidR="0082759F" w:rsidRPr="00E77699" w:rsidRDefault="0082759F" w:rsidP="00EB5197">
            <w:pPr>
              <w:jc w:val="left"/>
              <w:rPr>
                <w:rFonts w:eastAsia="Times New Roman" w:cs="Times New Roman"/>
                <w:color w:val="000000"/>
                <w:szCs w:val="24"/>
              </w:rPr>
            </w:pPr>
            <w:r>
              <w:rPr>
                <w:rFonts w:eastAsia="Times New Roman" w:cs="Times New Roman"/>
                <w:color w:val="000000"/>
                <w:szCs w:val="24"/>
              </w:rPr>
              <w:t>--</w:t>
            </w:r>
          </w:p>
        </w:tc>
        <w:tc>
          <w:tcPr>
            <w:tcW w:w="1100" w:type="dxa"/>
            <w:tcBorders>
              <w:left w:val="double" w:sz="4" w:space="0" w:color="auto"/>
            </w:tcBorders>
            <w:shd w:val="clear" w:color="auto" w:fill="auto"/>
            <w:noWrap/>
            <w:vAlign w:val="center"/>
            <w:hideMark/>
          </w:tcPr>
          <w:p w14:paraId="3B74837C" w14:textId="4B4CC90C" w:rsidR="0082759F" w:rsidRPr="00E77699" w:rsidRDefault="00C262D9" w:rsidP="00EB5197">
            <w:pPr>
              <w:jc w:val="left"/>
              <w:rPr>
                <w:rFonts w:eastAsia="Times New Roman" w:cs="Times New Roman"/>
                <w:color w:val="000000"/>
                <w:szCs w:val="24"/>
              </w:rPr>
            </w:pPr>
            <w:r>
              <w:rPr>
                <w:rFonts w:eastAsia="Times New Roman" w:cs="Times New Roman"/>
                <w:color w:val="000000"/>
                <w:szCs w:val="24"/>
              </w:rPr>
              <w:t>4.71%</w:t>
            </w:r>
          </w:p>
        </w:tc>
        <w:tc>
          <w:tcPr>
            <w:tcW w:w="1057" w:type="dxa"/>
            <w:shd w:val="clear" w:color="auto" w:fill="auto"/>
            <w:noWrap/>
            <w:vAlign w:val="center"/>
            <w:hideMark/>
          </w:tcPr>
          <w:p w14:paraId="7FE50FB3" w14:textId="77777777" w:rsidR="0082759F" w:rsidRPr="00E77699" w:rsidRDefault="0082759F" w:rsidP="00EB5197">
            <w:pPr>
              <w:jc w:val="left"/>
              <w:rPr>
                <w:rFonts w:eastAsia="Times New Roman" w:cs="Times New Roman"/>
                <w:color w:val="000000"/>
                <w:szCs w:val="24"/>
              </w:rPr>
            </w:pPr>
            <w:r>
              <w:rPr>
                <w:rFonts w:eastAsia="Times New Roman" w:cs="Times New Roman"/>
                <w:color w:val="000000"/>
                <w:szCs w:val="24"/>
              </w:rPr>
              <w:t>--</w:t>
            </w:r>
          </w:p>
        </w:tc>
      </w:tr>
      <w:tr w:rsidR="006561FD" w:rsidRPr="00E77699" w14:paraId="70BFBF9E" w14:textId="77777777" w:rsidTr="006561FD">
        <w:trPr>
          <w:trHeight w:val="345"/>
        </w:trPr>
        <w:tc>
          <w:tcPr>
            <w:tcW w:w="4648" w:type="dxa"/>
            <w:shd w:val="clear" w:color="auto" w:fill="auto"/>
            <w:noWrap/>
            <w:vAlign w:val="center"/>
            <w:hideMark/>
          </w:tcPr>
          <w:p w14:paraId="1763F2DC" w14:textId="77777777" w:rsidR="006561FD" w:rsidRPr="00E77699" w:rsidRDefault="006561FD" w:rsidP="00EB5197">
            <w:pPr>
              <w:jc w:val="left"/>
              <w:rPr>
                <w:rFonts w:eastAsia="Times New Roman" w:cs="Times New Roman"/>
                <w:color w:val="000000"/>
                <w:szCs w:val="24"/>
              </w:rPr>
            </w:pPr>
            <w:r w:rsidRPr="00E77699">
              <w:rPr>
                <w:rFonts w:eastAsia="Times New Roman" w:cs="Times New Roman"/>
                <w:color w:val="000000"/>
                <w:szCs w:val="24"/>
              </w:rPr>
              <w:t>Covid cases, 2 weeks lag, in initial phase of pandemic</w:t>
            </w:r>
          </w:p>
        </w:tc>
        <w:tc>
          <w:tcPr>
            <w:tcW w:w="1077" w:type="dxa"/>
            <w:tcBorders>
              <w:top w:val="single" w:sz="4" w:space="0" w:color="auto"/>
              <w:bottom w:val="single" w:sz="4" w:space="0" w:color="auto"/>
            </w:tcBorders>
            <w:shd w:val="clear" w:color="auto" w:fill="auto"/>
            <w:noWrap/>
            <w:vAlign w:val="center"/>
            <w:hideMark/>
          </w:tcPr>
          <w:p w14:paraId="70689B77"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7821113F" w14:textId="0DAD203B"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-7.13%</w:t>
            </w:r>
          </w:p>
        </w:tc>
        <w:tc>
          <w:tcPr>
            <w:tcW w:w="1100" w:type="dxa"/>
            <w:tcBorders>
              <w:left w:val="double" w:sz="4" w:space="0" w:color="auto"/>
            </w:tcBorders>
            <w:shd w:val="clear" w:color="auto" w:fill="auto"/>
            <w:noWrap/>
            <w:vAlign w:val="center"/>
            <w:hideMark/>
          </w:tcPr>
          <w:p w14:paraId="279FA92E"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shd w:val="clear" w:color="auto" w:fill="auto"/>
            <w:noWrap/>
            <w:vAlign w:val="center"/>
            <w:hideMark/>
          </w:tcPr>
          <w:p w14:paraId="332A16F7" w14:textId="6C6648D7" w:rsidR="006561FD" w:rsidRPr="00E77699" w:rsidRDefault="006561FD" w:rsidP="00EB5197">
            <w:pPr>
              <w:jc w:val="left"/>
              <w:rPr>
                <w:rFonts w:eastAsia="Times New Roman" w:cs="Times New Roman"/>
                <w:color w:val="000000"/>
                <w:szCs w:val="24"/>
              </w:rPr>
            </w:pPr>
            <w:r w:rsidRPr="006561FD">
              <w:rPr>
                <w:rFonts w:eastAsia="Times New Roman" w:cs="Times New Roman"/>
                <w:color w:val="000000"/>
                <w:szCs w:val="24"/>
              </w:rPr>
              <w:t>-6.31</w:t>
            </w:r>
            <w:r>
              <w:rPr>
                <w:rFonts w:eastAsia="Times New Roman" w:cs="Times New Roman"/>
                <w:color w:val="000000"/>
                <w:szCs w:val="24"/>
              </w:rPr>
              <w:t>%</w:t>
            </w:r>
          </w:p>
        </w:tc>
      </w:tr>
      <w:tr w:rsidR="006561FD" w:rsidRPr="00E77699" w14:paraId="2EF28337" w14:textId="77777777" w:rsidTr="006561FD">
        <w:trPr>
          <w:trHeight w:val="330"/>
        </w:trPr>
        <w:tc>
          <w:tcPr>
            <w:tcW w:w="4648" w:type="dxa"/>
            <w:shd w:val="clear" w:color="auto" w:fill="auto"/>
            <w:noWrap/>
            <w:vAlign w:val="center"/>
            <w:hideMark/>
          </w:tcPr>
          <w:p w14:paraId="072711F4" w14:textId="77777777" w:rsidR="006561FD" w:rsidRPr="00E77699" w:rsidRDefault="006561FD" w:rsidP="00EB5197">
            <w:pPr>
              <w:jc w:val="left"/>
              <w:rPr>
                <w:rFonts w:eastAsia="Times New Roman" w:cs="Times New Roman"/>
                <w:color w:val="000000"/>
                <w:szCs w:val="24"/>
              </w:rPr>
            </w:pPr>
            <w:r w:rsidRPr="00E77699">
              <w:rPr>
                <w:rFonts w:eastAsia="Times New Roman" w:cs="Times New Roman"/>
                <w:color w:val="000000"/>
                <w:szCs w:val="24"/>
              </w:rPr>
              <w:t>Covid case, 2 weeks lag, during 1st wave of pandemic</w:t>
            </w:r>
          </w:p>
        </w:tc>
        <w:tc>
          <w:tcPr>
            <w:tcW w:w="1077" w:type="dxa"/>
            <w:tcBorders>
              <w:top w:val="single" w:sz="4" w:space="0" w:color="auto"/>
              <w:bottom w:val="single" w:sz="4" w:space="0" w:color="auto"/>
            </w:tcBorders>
            <w:shd w:val="clear" w:color="auto" w:fill="auto"/>
            <w:noWrap/>
            <w:vAlign w:val="center"/>
            <w:hideMark/>
          </w:tcPr>
          <w:p w14:paraId="00E8735E"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709E99B0" w14:textId="483F9375"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-2.97%</w:t>
            </w:r>
          </w:p>
        </w:tc>
        <w:tc>
          <w:tcPr>
            <w:tcW w:w="1100" w:type="dxa"/>
            <w:tcBorders>
              <w:left w:val="double" w:sz="4" w:space="0" w:color="auto"/>
            </w:tcBorders>
            <w:shd w:val="clear" w:color="auto" w:fill="auto"/>
            <w:noWrap/>
            <w:vAlign w:val="center"/>
            <w:hideMark/>
          </w:tcPr>
          <w:p w14:paraId="0F7AEC27"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shd w:val="clear" w:color="auto" w:fill="auto"/>
            <w:noWrap/>
            <w:vAlign w:val="center"/>
            <w:hideMark/>
          </w:tcPr>
          <w:p w14:paraId="79C252E1" w14:textId="2B054616" w:rsidR="006561FD" w:rsidRPr="00E77699" w:rsidRDefault="006561FD" w:rsidP="00EB5197">
            <w:pPr>
              <w:jc w:val="left"/>
              <w:rPr>
                <w:rFonts w:eastAsia="Times New Roman" w:cs="Times New Roman"/>
                <w:color w:val="000000"/>
                <w:szCs w:val="24"/>
              </w:rPr>
            </w:pPr>
            <w:r w:rsidRPr="006561FD">
              <w:rPr>
                <w:rFonts w:eastAsia="Times New Roman" w:cs="Times New Roman"/>
                <w:color w:val="000000"/>
                <w:szCs w:val="24"/>
              </w:rPr>
              <w:t>-4.53</w:t>
            </w:r>
            <w:r>
              <w:rPr>
                <w:rFonts w:eastAsia="Times New Roman" w:cs="Times New Roman"/>
                <w:color w:val="000000"/>
                <w:szCs w:val="24"/>
              </w:rPr>
              <w:t>%</w:t>
            </w:r>
          </w:p>
        </w:tc>
      </w:tr>
      <w:tr w:rsidR="006561FD" w:rsidRPr="00E77699" w14:paraId="05AB4B69" w14:textId="77777777" w:rsidTr="006561FD">
        <w:trPr>
          <w:trHeight w:val="330"/>
        </w:trPr>
        <w:tc>
          <w:tcPr>
            <w:tcW w:w="4648" w:type="dxa"/>
            <w:shd w:val="clear" w:color="auto" w:fill="auto"/>
            <w:noWrap/>
            <w:vAlign w:val="center"/>
            <w:hideMark/>
          </w:tcPr>
          <w:p w14:paraId="28A0AA07" w14:textId="77777777" w:rsidR="006561FD" w:rsidRPr="00E77699" w:rsidRDefault="006561FD" w:rsidP="00EB5197">
            <w:pPr>
              <w:jc w:val="left"/>
              <w:rPr>
                <w:rFonts w:eastAsia="Times New Roman" w:cs="Times New Roman"/>
                <w:color w:val="000000"/>
                <w:szCs w:val="24"/>
              </w:rPr>
            </w:pPr>
            <w:r w:rsidRPr="00E77699">
              <w:rPr>
                <w:rFonts w:eastAsia="Times New Roman" w:cs="Times New Roman"/>
                <w:color w:val="000000"/>
                <w:szCs w:val="24"/>
              </w:rPr>
              <w:t>Covid case, 2 weeks lag, during 2nd wave of pandemic</w:t>
            </w:r>
          </w:p>
        </w:tc>
        <w:tc>
          <w:tcPr>
            <w:tcW w:w="1077" w:type="dxa"/>
            <w:tcBorders>
              <w:top w:val="single" w:sz="4" w:space="0" w:color="auto"/>
              <w:bottom w:val="single" w:sz="4" w:space="0" w:color="auto"/>
            </w:tcBorders>
            <w:shd w:val="clear" w:color="auto" w:fill="auto"/>
            <w:noWrap/>
            <w:vAlign w:val="center"/>
            <w:hideMark/>
          </w:tcPr>
          <w:p w14:paraId="36A7883D"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542260C1" w14:textId="409C8613"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-1.91%</w:t>
            </w:r>
          </w:p>
        </w:tc>
        <w:tc>
          <w:tcPr>
            <w:tcW w:w="1100" w:type="dxa"/>
            <w:tcBorders>
              <w:left w:val="double" w:sz="4" w:space="0" w:color="auto"/>
            </w:tcBorders>
            <w:shd w:val="clear" w:color="auto" w:fill="auto"/>
            <w:noWrap/>
            <w:vAlign w:val="center"/>
            <w:hideMark/>
          </w:tcPr>
          <w:p w14:paraId="45E6A8BA"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shd w:val="clear" w:color="auto" w:fill="auto"/>
            <w:noWrap/>
            <w:vAlign w:val="center"/>
            <w:hideMark/>
          </w:tcPr>
          <w:p w14:paraId="3CE3AE87" w14:textId="045E75B7" w:rsidR="006561FD" w:rsidRPr="00E77699" w:rsidRDefault="006561FD" w:rsidP="00EB5197">
            <w:pPr>
              <w:jc w:val="left"/>
              <w:rPr>
                <w:rFonts w:eastAsia="Times New Roman" w:cs="Times New Roman"/>
                <w:color w:val="000000"/>
                <w:szCs w:val="24"/>
              </w:rPr>
            </w:pPr>
            <w:r w:rsidRPr="006561FD">
              <w:rPr>
                <w:rFonts w:eastAsia="Times New Roman" w:cs="Times New Roman"/>
                <w:color w:val="000000"/>
                <w:szCs w:val="24"/>
              </w:rPr>
              <w:t>-2.97</w:t>
            </w:r>
            <w:r>
              <w:rPr>
                <w:rFonts w:eastAsia="Times New Roman" w:cs="Times New Roman"/>
                <w:color w:val="000000"/>
                <w:szCs w:val="24"/>
              </w:rPr>
              <w:t>%</w:t>
            </w:r>
          </w:p>
        </w:tc>
      </w:tr>
      <w:tr w:rsidR="006561FD" w:rsidRPr="00E77699" w14:paraId="43603966" w14:textId="77777777" w:rsidTr="006561FD">
        <w:trPr>
          <w:trHeight w:val="330"/>
        </w:trPr>
        <w:tc>
          <w:tcPr>
            <w:tcW w:w="4648" w:type="dxa"/>
            <w:shd w:val="clear" w:color="auto" w:fill="auto"/>
            <w:noWrap/>
            <w:vAlign w:val="center"/>
            <w:hideMark/>
          </w:tcPr>
          <w:p w14:paraId="1778B0DF" w14:textId="77777777" w:rsidR="006561FD" w:rsidRPr="00E77699" w:rsidRDefault="006561FD" w:rsidP="00EB5197">
            <w:pPr>
              <w:jc w:val="left"/>
              <w:rPr>
                <w:rFonts w:eastAsia="Times New Roman" w:cs="Times New Roman"/>
                <w:color w:val="000000"/>
                <w:szCs w:val="24"/>
              </w:rPr>
            </w:pPr>
            <w:r w:rsidRPr="00E77699">
              <w:rPr>
                <w:rFonts w:eastAsia="Times New Roman" w:cs="Times New Roman"/>
                <w:color w:val="000000"/>
                <w:szCs w:val="24"/>
              </w:rPr>
              <w:t>Covid case, 2 weeks lag, during vaccination phase</w:t>
            </w:r>
          </w:p>
        </w:tc>
        <w:tc>
          <w:tcPr>
            <w:tcW w:w="1077" w:type="dxa"/>
            <w:tcBorders>
              <w:top w:val="single" w:sz="4" w:space="0" w:color="auto"/>
              <w:bottom w:val="single" w:sz="4" w:space="0" w:color="auto"/>
            </w:tcBorders>
            <w:shd w:val="clear" w:color="auto" w:fill="auto"/>
            <w:noWrap/>
            <w:vAlign w:val="center"/>
            <w:hideMark/>
          </w:tcPr>
          <w:p w14:paraId="0C26178F"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2C62736F" w14:textId="0D76C5CC"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-1.13%</w:t>
            </w:r>
          </w:p>
        </w:tc>
        <w:tc>
          <w:tcPr>
            <w:tcW w:w="1100" w:type="dxa"/>
            <w:tcBorders>
              <w:left w:val="double" w:sz="4" w:space="0" w:color="auto"/>
            </w:tcBorders>
            <w:shd w:val="clear" w:color="auto" w:fill="auto"/>
            <w:noWrap/>
            <w:vAlign w:val="center"/>
            <w:hideMark/>
          </w:tcPr>
          <w:p w14:paraId="57F342CA" w14:textId="77777777" w:rsidR="006561FD" w:rsidRPr="00E77699" w:rsidRDefault="006561FD" w:rsidP="00EB5197">
            <w:pPr>
              <w:jc w:val="left"/>
              <w:rPr>
                <w:rFonts w:eastAsia="Times New Roman" w:cs="Times New Roman"/>
                <w:color w:val="000000"/>
                <w:szCs w:val="24"/>
              </w:rPr>
            </w:pPr>
            <w:r>
              <w:rPr>
                <w:rFonts w:eastAsia="Times New Roman" w:cs="Times New Roman"/>
                <w:color w:val="000000"/>
                <w:szCs w:val="24"/>
              </w:rPr>
              <w:t>--</w:t>
            </w:r>
          </w:p>
        </w:tc>
        <w:tc>
          <w:tcPr>
            <w:tcW w:w="1057" w:type="dxa"/>
            <w:shd w:val="clear" w:color="auto" w:fill="auto"/>
            <w:noWrap/>
            <w:vAlign w:val="center"/>
            <w:hideMark/>
          </w:tcPr>
          <w:p w14:paraId="2A561494" w14:textId="36D6980A" w:rsidR="006561FD" w:rsidRPr="00E77699" w:rsidRDefault="006561FD" w:rsidP="00EB5197">
            <w:pPr>
              <w:jc w:val="left"/>
              <w:rPr>
                <w:rFonts w:eastAsia="Times New Roman" w:cs="Times New Roman"/>
                <w:color w:val="000000"/>
                <w:szCs w:val="24"/>
              </w:rPr>
            </w:pPr>
            <w:r w:rsidRPr="006561FD">
              <w:rPr>
                <w:rFonts w:eastAsia="Times New Roman" w:cs="Times New Roman"/>
                <w:color w:val="000000"/>
                <w:szCs w:val="24"/>
              </w:rPr>
              <w:t>-0.71</w:t>
            </w:r>
            <w:r>
              <w:rPr>
                <w:rFonts w:eastAsia="Times New Roman" w:cs="Times New Roman"/>
                <w:color w:val="000000"/>
                <w:szCs w:val="24"/>
              </w:rPr>
              <w:t>%</w:t>
            </w:r>
          </w:p>
        </w:tc>
      </w:tr>
      <w:tr w:rsidR="00361A79" w:rsidRPr="00E77699" w14:paraId="747CF4D9" w14:textId="77777777" w:rsidTr="00B514FC">
        <w:trPr>
          <w:trHeight w:val="345"/>
        </w:trPr>
        <w:tc>
          <w:tcPr>
            <w:tcW w:w="4648" w:type="dxa"/>
            <w:shd w:val="clear" w:color="auto" w:fill="auto"/>
            <w:noWrap/>
            <w:vAlign w:val="center"/>
            <w:hideMark/>
          </w:tcPr>
          <w:p w14:paraId="5D86CA68" w14:textId="77777777" w:rsidR="0082759F" w:rsidRPr="00E77699" w:rsidRDefault="0082759F" w:rsidP="00EB5197">
            <w:pPr>
              <w:jc w:val="left"/>
              <w:rPr>
                <w:rFonts w:eastAsia="Times New Roman" w:cs="Times New Roman"/>
                <w:color w:val="000000"/>
                <w:szCs w:val="24"/>
              </w:rPr>
            </w:pPr>
            <w:r w:rsidRPr="00E77699">
              <w:rPr>
                <w:rFonts w:eastAsia="Times New Roman" w:cs="Times New Roman"/>
                <w:color w:val="000000"/>
                <w:szCs w:val="24"/>
              </w:rPr>
              <w:t>% Young people</w:t>
            </w:r>
          </w:p>
        </w:tc>
        <w:tc>
          <w:tcPr>
            <w:tcW w:w="1077" w:type="dxa"/>
            <w:tcBorders>
              <w:top w:val="single" w:sz="4" w:space="0" w:color="auto"/>
              <w:bottom w:val="single" w:sz="4" w:space="0" w:color="auto"/>
            </w:tcBorders>
            <w:shd w:val="clear" w:color="auto" w:fill="auto"/>
            <w:noWrap/>
            <w:vAlign w:val="center"/>
            <w:hideMark/>
          </w:tcPr>
          <w:p w14:paraId="170FD525" w14:textId="2D780D10" w:rsidR="0082759F" w:rsidRPr="00E77699" w:rsidRDefault="00361A79" w:rsidP="00EB5197">
            <w:pPr>
              <w:jc w:val="left"/>
              <w:rPr>
                <w:rFonts w:eastAsia="Times New Roman" w:cs="Times New Roman"/>
                <w:color w:val="000000"/>
                <w:szCs w:val="24"/>
              </w:rPr>
            </w:pPr>
            <w:r>
              <w:rPr>
                <w:rFonts w:eastAsia="Times New Roman" w:cs="Times New Roman"/>
                <w:color w:val="000000"/>
                <w:szCs w:val="24"/>
              </w:rPr>
              <w:t>4.70%</w:t>
            </w:r>
          </w:p>
        </w:tc>
        <w:tc>
          <w:tcPr>
            <w:tcW w:w="1057" w:type="dxa"/>
            <w:tcBorders>
              <w:top w:val="single" w:sz="4" w:space="0" w:color="auto"/>
              <w:bottom w:val="single" w:sz="4" w:space="0" w:color="auto"/>
              <w:right w:val="double" w:sz="4" w:space="0" w:color="auto"/>
            </w:tcBorders>
            <w:shd w:val="clear" w:color="auto" w:fill="auto"/>
            <w:noWrap/>
            <w:vAlign w:val="center"/>
            <w:hideMark/>
          </w:tcPr>
          <w:p w14:paraId="5570AC5B" w14:textId="6213549D" w:rsidR="0082759F" w:rsidRPr="00E77699" w:rsidRDefault="00361A79" w:rsidP="00EB5197">
            <w:pPr>
              <w:jc w:val="left"/>
              <w:rPr>
                <w:rFonts w:eastAsia="Times New Roman" w:cs="Times New Roman"/>
                <w:color w:val="000000"/>
                <w:szCs w:val="24"/>
              </w:rPr>
            </w:pPr>
            <w:r>
              <w:rPr>
                <w:rFonts w:eastAsia="Times New Roman" w:cs="Times New Roman"/>
                <w:color w:val="000000"/>
                <w:szCs w:val="24"/>
              </w:rPr>
              <w:t>5.82%</w:t>
            </w:r>
          </w:p>
        </w:tc>
        <w:tc>
          <w:tcPr>
            <w:tcW w:w="1100" w:type="dxa"/>
            <w:tcBorders>
              <w:left w:val="double" w:sz="4" w:space="0" w:color="auto"/>
            </w:tcBorders>
            <w:shd w:val="clear" w:color="auto" w:fill="auto"/>
            <w:noWrap/>
            <w:vAlign w:val="center"/>
            <w:hideMark/>
          </w:tcPr>
          <w:p w14:paraId="5E90F693" w14:textId="5697E726" w:rsidR="0082759F" w:rsidRPr="00E77699" w:rsidRDefault="00361A79" w:rsidP="00EB5197">
            <w:pPr>
              <w:jc w:val="left"/>
              <w:rPr>
                <w:rFonts w:eastAsia="Times New Roman" w:cs="Times New Roman"/>
                <w:color w:val="000000"/>
                <w:szCs w:val="24"/>
              </w:rPr>
            </w:pPr>
            <w:r>
              <w:rPr>
                <w:rFonts w:eastAsia="Times New Roman" w:cs="Times New Roman"/>
                <w:color w:val="000000"/>
                <w:szCs w:val="24"/>
              </w:rPr>
              <w:t>4.93%</w:t>
            </w:r>
          </w:p>
        </w:tc>
        <w:tc>
          <w:tcPr>
            <w:tcW w:w="1057" w:type="dxa"/>
            <w:shd w:val="clear" w:color="auto" w:fill="auto"/>
            <w:noWrap/>
            <w:vAlign w:val="center"/>
            <w:hideMark/>
          </w:tcPr>
          <w:p w14:paraId="7A50453B" w14:textId="436448F9" w:rsidR="0082759F" w:rsidRPr="00E77699" w:rsidRDefault="00361A79" w:rsidP="00EB5197">
            <w:pPr>
              <w:jc w:val="left"/>
              <w:rPr>
                <w:rFonts w:eastAsia="Times New Roman" w:cs="Times New Roman"/>
                <w:color w:val="000000"/>
                <w:szCs w:val="24"/>
              </w:rPr>
            </w:pPr>
            <w:r>
              <w:rPr>
                <w:rFonts w:eastAsia="Times New Roman" w:cs="Times New Roman"/>
                <w:color w:val="000000"/>
                <w:szCs w:val="24"/>
              </w:rPr>
              <w:t>5.82%</w:t>
            </w:r>
          </w:p>
        </w:tc>
      </w:tr>
      <w:tr w:rsidR="00361A79" w:rsidRPr="00E77699" w14:paraId="30EFA09E" w14:textId="77777777" w:rsidTr="00B514FC">
        <w:trPr>
          <w:trHeight w:val="330"/>
        </w:trPr>
        <w:tc>
          <w:tcPr>
            <w:tcW w:w="4648" w:type="dxa"/>
            <w:shd w:val="clear" w:color="auto" w:fill="auto"/>
            <w:noWrap/>
            <w:vAlign w:val="center"/>
            <w:hideMark/>
          </w:tcPr>
          <w:p w14:paraId="78CA11F4" w14:textId="77777777" w:rsidR="00361A79" w:rsidRPr="00E77699" w:rsidRDefault="00361A79" w:rsidP="00EB5197">
            <w:pPr>
              <w:jc w:val="left"/>
              <w:rPr>
                <w:rFonts w:eastAsia="Times New Roman" w:cs="Times New Roman"/>
                <w:color w:val="000000"/>
                <w:szCs w:val="24"/>
              </w:rPr>
            </w:pPr>
            <w:r w:rsidRPr="00E77699">
              <w:rPr>
                <w:rFonts w:eastAsia="Times New Roman" w:cs="Times New Roman"/>
                <w:color w:val="000000"/>
                <w:szCs w:val="24"/>
              </w:rPr>
              <w:t>% Senior people</w:t>
            </w:r>
          </w:p>
        </w:tc>
        <w:tc>
          <w:tcPr>
            <w:tcW w:w="1077" w:type="dxa"/>
            <w:tcBorders>
              <w:top w:val="single" w:sz="4" w:space="0" w:color="auto"/>
              <w:bottom w:val="single" w:sz="4" w:space="0" w:color="auto"/>
            </w:tcBorders>
            <w:shd w:val="clear" w:color="auto" w:fill="auto"/>
            <w:noWrap/>
            <w:hideMark/>
          </w:tcPr>
          <w:p w14:paraId="7B1FB7D8" w14:textId="4E8B975D" w:rsidR="00361A79" w:rsidRPr="00E77699" w:rsidRDefault="00361A79" w:rsidP="00EB5197">
            <w:pPr>
              <w:jc w:val="left"/>
              <w:rPr>
                <w:rFonts w:eastAsia="Times New Roman" w:cs="Times New Roman"/>
                <w:color w:val="000000"/>
                <w:szCs w:val="24"/>
              </w:rPr>
            </w:pPr>
            <w:r w:rsidRPr="00545740">
              <w:t>-0.88</w:t>
            </w:r>
            <w:r>
              <w:t>%</w:t>
            </w:r>
          </w:p>
        </w:tc>
        <w:tc>
          <w:tcPr>
            <w:tcW w:w="1057" w:type="dxa"/>
            <w:tcBorders>
              <w:top w:val="single" w:sz="4" w:space="0" w:color="auto"/>
              <w:bottom w:val="single" w:sz="4" w:space="0" w:color="auto"/>
              <w:right w:val="double" w:sz="4" w:space="0" w:color="auto"/>
            </w:tcBorders>
            <w:shd w:val="clear" w:color="auto" w:fill="auto"/>
            <w:noWrap/>
            <w:hideMark/>
          </w:tcPr>
          <w:p w14:paraId="0ADCE391" w14:textId="5C3A9D81" w:rsidR="00361A79" w:rsidRPr="00E77699" w:rsidRDefault="00361A79" w:rsidP="00EB5197">
            <w:pPr>
              <w:jc w:val="left"/>
              <w:rPr>
                <w:rFonts w:eastAsia="Times New Roman" w:cs="Times New Roman"/>
                <w:color w:val="000000"/>
                <w:szCs w:val="24"/>
              </w:rPr>
            </w:pPr>
            <w:r w:rsidRPr="00545740">
              <w:t>-1.58</w:t>
            </w:r>
            <w:r>
              <w:t>%</w:t>
            </w:r>
          </w:p>
        </w:tc>
        <w:tc>
          <w:tcPr>
            <w:tcW w:w="1100" w:type="dxa"/>
            <w:tcBorders>
              <w:left w:val="double" w:sz="4" w:space="0" w:color="auto"/>
            </w:tcBorders>
            <w:shd w:val="clear" w:color="auto" w:fill="auto"/>
            <w:noWrap/>
            <w:hideMark/>
          </w:tcPr>
          <w:p w14:paraId="5712DC29" w14:textId="4FB94C15" w:rsidR="00361A79" w:rsidRPr="00E77699" w:rsidRDefault="00361A79" w:rsidP="00EB5197">
            <w:pPr>
              <w:jc w:val="left"/>
              <w:rPr>
                <w:rFonts w:eastAsia="Times New Roman" w:cs="Times New Roman"/>
                <w:color w:val="000000"/>
                <w:szCs w:val="24"/>
              </w:rPr>
            </w:pPr>
            <w:r w:rsidRPr="00545740">
              <w:t>-0.88</w:t>
            </w:r>
            <w:r>
              <w:t>%</w:t>
            </w:r>
          </w:p>
        </w:tc>
        <w:tc>
          <w:tcPr>
            <w:tcW w:w="1057" w:type="dxa"/>
            <w:shd w:val="clear" w:color="auto" w:fill="auto"/>
            <w:noWrap/>
            <w:hideMark/>
          </w:tcPr>
          <w:p w14:paraId="0994EA5D" w14:textId="12A8A2E4" w:rsidR="00361A79" w:rsidRPr="00E77699" w:rsidRDefault="00361A79" w:rsidP="00EB5197">
            <w:pPr>
              <w:jc w:val="left"/>
              <w:rPr>
                <w:rFonts w:eastAsia="Times New Roman" w:cs="Times New Roman"/>
                <w:color w:val="000000"/>
                <w:szCs w:val="24"/>
              </w:rPr>
            </w:pPr>
            <w:r w:rsidRPr="00545740">
              <w:t>-1.76</w:t>
            </w:r>
            <w:r>
              <w:t>%</w:t>
            </w:r>
          </w:p>
        </w:tc>
      </w:tr>
      <w:tr w:rsidR="006D47AC" w:rsidRPr="00E77699" w14:paraId="1D95627E" w14:textId="77777777" w:rsidTr="00DE27D1">
        <w:trPr>
          <w:trHeight w:val="345"/>
        </w:trPr>
        <w:tc>
          <w:tcPr>
            <w:tcW w:w="4648" w:type="dxa"/>
            <w:shd w:val="clear" w:color="auto" w:fill="auto"/>
            <w:noWrap/>
            <w:vAlign w:val="bottom"/>
            <w:hideMark/>
          </w:tcPr>
          <w:p w14:paraId="73F19507" w14:textId="68A4EDAB" w:rsidR="006D47AC" w:rsidRPr="00E77699" w:rsidRDefault="006D47AC" w:rsidP="00EB5197">
            <w:pPr>
              <w:jc w:val="left"/>
              <w:rPr>
                <w:rFonts w:eastAsia="Times New Roman" w:cs="Times New Roman"/>
                <w:color w:val="000000"/>
                <w:szCs w:val="24"/>
              </w:rPr>
            </w:pPr>
            <w:r w:rsidRPr="00E77699">
              <w:rPr>
                <w:rFonts w:eastAsia="Times New Roman" w:cs="Times New Roman"/>
                <w:color w:val="000000"/>
                <w:szCs w:val="24"/>
              </w:rPr>
              <w:t>No. airport</w:t>
            </w:r>
            <w:r w:rsidR="00DC6AFF">
              <w:rPr>
                <w:rFonts w:eastAsia="Times New Roman" w:cs="Times New Roman"/>
                <w:color w:val="000000"/>
                <w:szCs w:val="24"/>
              </w:rPr>
              <w:t>s</w:t>
            </w:r>
            <w:r w:rsidRPr="00E77699">
              <w:rPr>
                <w:rFonts w:eastAsia="Times New Roman" w:cs="Times New Roman"/>
                <w:color w:val="000000"/>
                <w:szCs w:val="24"/>
              </w:rPr>
              <w:t xml:space="preserve"> per 100K </w:t>
            </w:r>
            <w:r w:rsidR="008B5E42">
              <w:rPr>
                <w:rFonts w:eastAsia="Times New Roman" w:cs="Times New Roman"/>
                <w:color w:val="000000"/>
                <w:szCs w:val="24"/>
              </w:rPr>
              <w:t>population</w:t>
            </w:r>
          </w:p>
        </w:tc>
        <w:tc>
          <w:tcPr>
            <w:tcW w:w="1077" w:type="dxa"/>
            <w:tcBorders>
              <w:top w:val="single" w:sz="4" w:space="0" w:color="auto"/>
              <w:bottom w:val="double" w:sz="4" w:space="0" w:color="auto"/>
            </w:tcBorders>
            <w:shd w:val="clear" w:color="auto" w:fill="auto"/>
            <w:noWrap/>
            <w:hideMark/>
          </w:tcPr>
          <w:p w14:paraId="15EF2043" w14:textId="3D7C5051" w:rsidR="006D47AC" w:rsidRPr="00E77699" w:rsidRDefault="00A706E8" w:rsidP="00EB5197">
            <w:pPr>
              <w:jc w:val="left"/>
              <w:rPr>
                <w:rFonts w:eastAsia="Times New Roman" w:cs="Times New Roman"/>
                <w:color w:val="000000"/>
                <w:szCs w:val="24"/>
              </w:rPr>
            </w:pPr>
            <w:r>
              <w:t>2.17</w:t>
            </w:r>
            <w:r w:rsidR="006D47AC">
              <w:t>%</w:t>
            </w:r>
          </w:p>
        </w:tc>
        <w:tc>
          <w:tcPr>
            <w:tcW w:w="1057" w:type="dxa"/>
            <w:tcBorders>
              <w:top w:val="single" w:sz="4" w:space="0" w:color="auto"/>
              <w:bottom w:val="double" w:sz="4" w:space="0" w:color="auto"/>
              <w:right w:val="double" w:sz="4" w:space="0" w:color="auto"/>
            </w:tcBorders>
            <w:shd w:val="clear" w:color="auto" w:fill="auto"/>
            <w:noWrap/>
            <w:hideMark/>
          </w:tcPr>
          <w:p w14:paraId="11B5616A" w14:textId="479F4384" w:rsidR="006D47AC" w:rsidRPr="00E77699" w:rsidRDefault="006D47AC" w:rsidP="00EB5197">
            <w:pPr>
              <w:jc w:val="left"/>
              <w:rPr>
                <w:rFonts w:eastAsia="Times New Roman" w:cs="Times New Roman"/>
                <w:color w:val="000000"/>
                <w:szCs w:val="24"/>
              </w:rPr>
            </w:pPr>
            <w:r w:rsidRPr="00F226A5">
              <w:t>4.00</w:t>
            </w:r>
            <w:r>
              <w:t>%</w:t>
            </w:r>
          </w:p>
        </w:tc>
        <w:tc>
          <w:tcPr>
            <w:tcW w:w="1100" w:type="dxa"/>
            <w:tcBorders>
              <w:left w:val="double" w:sz="4" w:space="0" w:color="auto"/>
            </w:tcBorders>
            <w:shd w:val="clear" w:color="auto" w:fill="auto"/>
            <w:noWrap/>
            <w:hideMark/>
          </w:tcPr>
          <w:p w14:paraId="7666E663" w14:textId="71E79FF9" w:rsidR="006D47AC" w:rsidRPr="00E77699" w:rsidRDefault="00A706E8" w:rsidP="00EB5197">
            <w:pPr>
              <w:jc w:val="left"/>
              <w:rPr>
                <w:rFonts w:eastAsia="Times New Roman" w:cs="Times New Roman"/>
                <w:color w:val="000000"/>
                <w:szCs w:val="24"/>
              </w:rPr>
            </w:pPr>
            <w:r>
              <w:t xml:space="preserve">2.16 </w:t>
            </w:r>
            <w:r w:rsidR="006D47AC">
              <w:t>%</w:t>
            </w:r>
          </w:p>
        </w:tc>
        <w:tc>
          <w:tcPr>
            <w:tcW w:w="1057" w:type="dxa"/>
            <w:shd w:val="clear" w:color="auto" w:fill="auto"/>
            <w:noWrap/>
            <w:hideMark/>
          </w:tcPr>
          <w:p w14:paraId="64A15DB9" w14:textId="1DCFBA01" w:rsidR="006D47AC" w:rsidRPr="00E77699" w:rsidRDefault="006D47AC" w:rsidP="00EB5197">
            <w:pPr>
              <w:jc w:val="left"/>
              <w:rPr>
                <w:rFonts w:eastAsia="Times New Roman" w:cs="Times New Roman"/>
                <w:color w:val="000000"/>
                <w:szCs w:val="24"/>
              </w:rPr>
            </w:pPr>
            <w:r w:rsidRPr="00F226A5">
              <w:t>4.20</w:t>
            </w:r>
            <w:r>
              <w:t>%</w:t>
            </w:r>
          </w:p>
        </w:tc>
      </w:tr>
    </w:tbl>
    <w:p w14:paraId="0ED19EC2" w14:textId="77777777" w:rsidR="0082759F" w:rsidRDefault="0082759F" w:rsidP="00EB5197"/>
    <w:p w14:paraId="5CA3C094" w14:textId="348784D9" w:rsidR="006F3FF5" w:rsidRDefault="00337B7D" w:rsidP="00EB5197">
      <w:pPr>
        <w:ind w:firstLine="720"/>
      </w:pPr>
      <w:r>
        <w:t>Two important</w:t>
      </w:r>
      <w:r w:rsidR="0082759F">
        <w:t xml:space="preserve"> observations can be made based on the elasticity effects presented in Table</w:t>
      </w:r>
      <w:r w:rsidR="003B59DF">
        <w:t xml:space="preserve"> 4</w:t>
      </w:r>
      <w:r w:rsidR="005164B4">
        <w:t xml:space="preserve">. </w:t>
      </w:r>
      <w:r>
        <w:t xml:space="preserve">First, </w:t>
      </w:r>
      <w:r w:rsidR="00C121FF">
        <w:t xml:space="preserve">we </w:t>
      </w:r>
      <w:bookmarkStart w:id="4" w:name="_Hlk138087489"/>
      <w:r w:rsidR="003B59DF">
        <w:t xml:space="preserve">find </w:t>
      </w:r>
      <w:r w:rsidR="00C121FF">
        <w:t xml:space="preserve">significant differences </w:t>
      </w:r>
      <w:r w:rsidR="00C121FF" w:rsidRPr="00337B7D">
        <w:t>in the estimated impact of variables between the UMLRs and JBMLR model.</w:t>
      </w:r>
      <w:bookmarkEnd w:id="4"/>
      <w:r w:rsidR="00C121FF" w:rsidRPr="00337B7D">
        <w:t xml:space="preserve"> For example,</w:t>
      </w:r>
      <w:r w:rsidR="00C121FF">
        <w:t xml:space="preserve"> </w:t>
      </w:r>
      <w:r w:rsidR="003B59DF">
        <w:t xml:space="preserve">while </w:t>
      </w:r>
      <w:r w:rsidR="00C121FF" w:rsidRPr="00337B7D">
        <w:t xml:space="preserve">mobility with a 2-week lag during the </w:t>
      </w:r>
      <w:r w:rsidR="003B59DF">
        <w:t>early</w:t>
      </w:r>
      <w:r w:rsidR="003B59DF" w:rsidRPr="00337B7D">
        <w:t xml:space="preserve"> </w:t>
      </w:r>
      <w:r w:rsidR="00C121FF" w:rsidRPr="00337B7D">
        <w:t>phase of the pandemic</w:t>
      </w:r>
      <w:r w:rsidR="00C121FF">
        <w:t xml:space="preserve"> reveals a positive impact in both models, the effect is slightly higher in the JBMLR model compared to its </w:t>
      </w:r>
      <w:proofErr w:type="spellStart"/>
      <w:r w:rsidR="00C121FF">
        <w:t>uni</w:t>
      </w:r>
      <w:proofErr w:type="spellEnd"/>
      <w:r w:rsidR="00C121FF">
        <w:t xml:space="preserve">-directional counterpart. However, the opposite is true </w:t>
      </w:r>
      <w:r w:rsidR="00A77A48">
        <w:t>in the later phases of the pandemic</w:t>
      </w:r>
      <w:r w:rsidR="00C121FF">
        <w:t xml:space="preserve"> (1</w:t>
      </w:r>
      <w:r w:rsidR="00C121FF" w:rsidRPr="00C121FF">
        <w:rPr>
          <w:vertAlign w:val="superscript"/>
        </w:rPr>
        <w:t>st</w:t>
      </w:r>
      <w:r w:rsidR="00C121FF">
        <w:t xml:space="preserve"> and 2</w:t>
      </w:r>
      <w:r w:rsidR="00C121FF" w:rsidRPr="00C121FF">
        <w:rPr>
          <w:vertAlign w:val="superscript"/>
        </w:rPr>
        <w:t>nd</w:t>
      </w:r>
      <w:r w:rsidR="00C121FF">
        <w:t xml:space="preserve"> wave), </w:t>
      </w:r>
      <w:r w:rsidR="00732C57">
        <w:t>i.e.,</w:t>
      </w:r>
      <w:r w:rsidR="00C121FF">
        <w:t xml:space="preserve"> mobility is found to have reduced positive effect in the JBMLR model. Similar results are also observed regarding COVID-19 related variables. </w:t>
      </w:r>
      <w:r w:rsidR="00732C57">
        <w:t>The m</w:t>
      </w:r>
      <w:r w:rsidR="00C121FF">
        <w:t xml:space="preserve">odel incorporating the interplay between COVID-19 transmission and weekly mobility pattern (JBMLR) </w:t>
      </w:r>
      <w:r w:rsidR="00732C57">
        <w:t xml:space="preserve">offers </w:t>
      </w:r>
      <w:r w:rsidR="00C121FF">
        <w:t xml:space="preserve"> a </w:t>
      </w:r>
      <w:r w:rsidR="00A77A48">
        <w:t>higher</w:t>
      </w:r>
      <w:r w:rsidR="00F52174">
        <w:t xml:space="preserve"> </w:t>
      </w:r>
      <w:r w:rsidR="00C121FF">
        <w:t xml:space="preserve">negative impact of COVID-19 transmission on the mobility relative to the UMLR model. On the other hand, during the vaccination phase, the impact of COVID-19 transmission on mobility is less severe in the BJMLR model as indicated by the lower negative value in Table 4. These discrepancies clearly highlights the </w:t>
      </w:r>
      <w:r w:rsidRPr="00337B7D">
        <w:t>importance of considering the bi-directional relationship between COVID-19 transmission and mobility when interpreting the effects of independent variables.</w:t>
      </w:r>
      <w:r>
        <w:t xml:space="preserve"> </w:t>
      </w:r>
      <w:r w:rsidR="00C121FF" w:rsidRPr="00C121FF">
        <w:rPr>
          <w:u w:val="single"/>
        </w:rPr>
        <w:t>Second</w:t>
      </w:r>
      <w:r w:rsidR="00C121FF">
        <w:t xml:space="preserve">, </w:t>
      </w:r>
      <w:r w:rsidR="006F3FF5">
        <w:t xml:space="preserve">we find </w:t>
      </w:r>
      <w:r w:rsidR="00F52174">
        <w:t xml:space="preserve">smaller </w:t>
      </w:r>
      <w:r w:rsidR="006F3FF5">
        <w:t xml:space="preserve">differences for demographics and airport effects across both models  as indicated in Table 4. The results suggest that these effect remain relatively constant irrespective of the modeling framework.  </w:t>
      </w:r>
    </w:p>
    <w:p w14:paraId="5E685137" w14:textId="41DE23C4" w:rsidR="00C121FF" w:rsidRDefault="00337B7D" w:rsidP="00EB5197">
      <w:pPr>
        <w:ind w:firstLine="720"/>
      </w:pPr>
      <w:r>
        <w:t xml:space="preserve">In summary, </w:t>
      </w:r>
      <w:r w:rsidR="00C121FF">
        <w:t xml:space="preserve">the differences in variable impacts further lends support to our hypothesis that allowing for the feedback between COVID-19 transmission and mobility will provide a more accurate representation of their relationship. </w:t>
      </w:r>
      <w:r w:rsidR="006F3FF5">
        <w:t xml:space="preserve">Specifically, </w:t>
      </w:r>
      <w:r w:rsidR="00C121FF">
        <w:t>t</w:t>
      </w:r>
      <w:r w:rsidR="00C121FF" w:rsidRPr="00337B7D">
        <w:t>he JBMLR model incorporates the bi-directional relationship between COVID-19 transmission</w:t>
      </w:r>
      <w:r w:rsidR="00C121FF" w:rsidRPr="00C121FF">
        <w:t xml:space="preserve"> </w:t>
      </w:r>
      <w:r w:rsidR="00C121FF" w:rsidRPr="00337B7D">
        <w:t>and mobility</w:t>
      </w:r>
      <w:r w:rsidR="00C121FF">
        <w:t xml:space="preserve">, thus providing a comprehensive understating of the reciprocal effects. </w:t>
      </w:r>
      <w:r w:rsidR="00C121FF" w:rsidRPr="00337B7D">
        <w:t xml:space="preserve">In contrast, the UMLRs treat COVID and mobility as separate systems, potentially </w:t>
      </w:r>
      <w:r w:rsidR="0034720A">
        <w:t xml:space="preserve">resulting in </w:t>
      </w:r>
      <w:r w:rsidR="00C121FF">
        <w:t>incorrect and</w:t>
      </w:r>
      <w:r w:rsidR="0034720A">
        <w:t>/or</w:t>
      </w:r>
      <w:r w:rsidR="00C121FF">
        <w:t xml:space="preserve"> biased</w:t>
      </w:r>
      <w:r w:rsidR="00C121FF" w:rsidRPr="00337B7D">
        <w:t xml:space="preserve"> interpretation of the effects of independent variables.</w:t>
      </w:r>
    </w:p>
    <w:p w14:paraId="5EA954CD" w14:textId="77777777" w:rsidR="005812F1" w:rsidRDefault="005812F1" w:rsidP="00EB5197"/>
    <w:p w14:paraId="05205559" w14:textId="708C48C2" w:rsidR="00A062E7" w:rsidRDefault="00FF36B6" w:rsidP="00EB5197">
      <w:pPr>
        <w:pStyle w:val="Heading1"/>
        <w:rPr>
          <w:rFonts w:eastAsiaTheme="minorEastAsia"/>
        </w:rPr>
      </w:pPr>
      <w:r>
        <w:rPr>
          <w:rFonts w:eastAsiaTheme="minorEastAsia"/>
        </w:rPr>
        <w:lastRenderedPageBreak/>
        <w:t>CONCLUSION</w:t>
      </w:r>
    </w:p>
    <w:p w14:paraId="4CA99BC2" w14:textId="65EF2416" w:rsidR="009633D8" w:rsidRPr="004465BD" w:rsidRDefault="000D51B8" w:rsidP="00EB5197">
      <w:pPr>
        <w:rPr>
          <w:rFonts w:eastAsiaTheme="minorEastAsia"/>
        </w:rPr>
      </w:pPr>
      <w:r w:rsidRPr="004465BD">
        <w:t xml:space="preserve">Earlier research studies typically focused on examining the </w:t>
      </w:r>
      <w:proofErr w:type="spellStart"/>
      <w:r w:rsidRPr="004465BD">
        <w:t>uni</w:t>
      </w:r>
      <w:proofErr w:type="spellEnd"/>
      <w:r w:rsidRPr="004465BD">
        <w:t>-directional impact of mobility on COV</w:t>
      </w:r>
      <w:r w:rsidR="008504A5" w:rsidRPr="004465BD">
        <w:t>I</w:t>
      </w:r>
      <w:r w:rsidRPr="004465BD">
        <w:t>D-19 transmission and vice-versa</w:t>
      </w:r>
      <w:r w:rsidR="006E4F74" w:rsidRPr="004465BD">
        <w:t>. H</w:t>
      </w:r>
      <w:r w:rsidRPr="004465BD">
        <w:t>owever</w:t>
      </w:r>
      <w:r w:rsidR="006E4F74" w:rsidRPr="004465BD">
        <w:t>,</w:t>
      </w:r>
      <w:r w:rsidRPr="004465BD">
        <w:t xml:space="preserve"> it is possible that these variables are interconnected with each other. </w:t>
      </w:r>
      <w:r w:rsidR="00F92100" w:rsidRPr="004465BD">
        <w:t>Addressing</w:t>
      </w:r>
      <w:r w:rsidR="00BF3E9E" w:rsidRPr="004465BD">
        <w:t xml:space="preserve"> the presence of interplay </w:t>
      </w:r>
      <w:r w:rsidRPr="004465BD">
        <w:rPr>
          <w:rFonts w:eastAsiaTheme="minorEastAsia"/>
        </w:rPr>
        <w:t xml:space="preserve">between COVID-19 transmission and </w:t>
      </w:r>
      <w:r w:rsidR="008B5E42" w:rsidRPr="004465BD">
        <w:rPr>
          <w:rFonts w:eastAsiaTheme="minorEastAsia"/>
        </w:rPr>
        <w:t xml:space="preserve">population </w:t>
      </w:r>
      <w:r w:rsidRPr="004465BD">
        <w:rPr>
          <w:rFonts w:eastAsiaTheme="minorEastAsia"/>
        </w:rPr>
        <w:t xml:space="preserve">mobility </w:t>
      </w:r>
      <w:r w:rsidR="006E4F74" w:rsidRPr="004465BD">
        <w:rPr>
          <w:rFonts w:eastAsiaTheme="minorEastAsia"/>
        </w:rPr>
        <w:t xml:space="preserve">by </w:t>
      </w:r>
      <w:r w:rsidRPr="004465BD">
        <w:rPr>
          <w:rFonts w:eastAsiaTheme="minorEastAsia"/>
        </w:rPr>
        <w:t xml:space="preserve">recognizing the bi-directional relationship is essential for accurate analysis and policy formulation. The current research effort </w:t>
      </w:r>
      <w:r w:rsidR="00F05061" w:rsidRPr="004465BD">
        <w:rPr>
          <w:rFonts w:eastAsiaTheme="minorEastAsia"/>
        </w:rPr>
        <w:t>develop</w:t>
      </w:r>
      <w:r w:rsidR="0018215B" w:rsidRPr="004465BD">
        <w:rPr>
          <w:rFonts w:eastAsiaTheme="minorEastAsia"/>
        </w:rPr>
        <w:t>s</w:t>
      </w:r>
      <w:r w:rsidR="00F05061" w:rsidRPr="004465BD">
        <w:rPr>
          <w:rFonts w:eastAsiaTheme="minorEastAsia"/>
        </w:rPr>
        <w:t xml:space="preserve"> a simultaneous econometric model system that allows for the bi-directional impact across the two dependent variables (COVID-19 transmission and </w:t>
      </w:r>
      <w:r w:rsidR="008B5E42" w:rsidRPr="004465BD">
        <w:rPr>
          <w:rFonts w:eastAsiaTheme="minorEastAsia"/>
        </w:rPr>
        <w:t xml:space="preserve">population </w:t>
      </w:r>
      <w:r w:rsidR="00F05061" w:rsidRPr="004465BD">
        <w:rPr>
          <w:rFonts w:eastAsiaTheme="minorEastAsia"/>
        </w:rPr>
        <w:t>mobility pattern) while also controlling for the influence of common unobserved factors affecting the two variables.</w:t>
      </w:r>
      <w:r w:rsidR="009633D8" w:rsidRPr="004465BD">
        <w:rPr>
          <w:rFonts w:eastAsiaTheme="minorEastAsia"/>
        </w:rPr>
        <w:t xml:space="preserve"> </w:t>
      </w:r>
      <w:r w:rsidR="00195B3D" w:rsidRPr="004465BD">
        <w:t>With the bi-directional model</w:t>
      </w:r>
      <w:r w:rsidR="009633D8" w:rsidRPr="004465BD">
        <w:t xml:space="preserve">, </w:t>
      </w:r>
      <w:r w:rsidR="00195B3D" w:rsidRPr="004465BD">
        <w:t xml:space="preserve">in our analysis, </w:t>
      </w:r>
      <w:r w:rsidR="009633D8" w:rsidRPr="004465BD">
        <w:t xml:space="preserve">we explored the </w:t>
      </w:r>
      <w:r w:rsidR="00195B3D" w:rsidRPr="004465BD">
        <w:t>changing relationship</w:t>
      </w:r>
      <w:r w:rsidR="0012739D" w:rsidRPr="004465BD">
        <w:t xml:space="preserve"> between transmission and mobility</w:t>
      </w:r>
      <w:r w:rsidR="009633D8" w:rsidRPr="004465BD">
        <w:t xml:space="preserve"> by considering various phases of the pandemic in the US </w:t>
      </w:r>
      <w:r w:rsidR="0012739D" w:rsidRPr="004465BD">
        <w:t>including</w:t>
      </w:r>
      <w:r w:rsidR="009633D8" w:rsidRPr="004465BD">
        <w:t xml:space="preserve"> (a) initial part of the pandemic, (b) first wave, (c) second wave, and (d) vaccination phase. </w:t>
      </w:r>
      <w:r w:rsidR="0018215B" w:rsidRPr="004465BD">
        <w:t xml:space="preserve">We analyzed county-level data on transmission and mobility patterns from the US over a 78-week period using a comprehensive list of factors including </w:t>
      </w:r>
      <w:r w:rsidR="0018215B" w:rsidRPr="004465BD">
        <w:rPr>
          <w:rFonts w:cs="Times New Roman"/>
          <w:szCs w:val="24"/>
        </w:rPr>
        <w:t xml:space="preserve">(a) </w:t>
      </w:r>
      <w:r w:rsidR="0018215B" w:rsidRPr="004465BD">
        <w:rPr>
          <w:rFonts w:cs="Times New Roman"/>
          <w:szCs w:val="24"/>
          <w:u w:val="single"/>
        </w:rPr>
        <w:t xml:space="preserve">temporal factors, </w:t>
      </w:r>
      <w:r w:rsidR="0018215B" w:rsidRPr="004465BD">
        <w:rPr>
          <w:rFonts w:eastAsia="Calibri" w:cs="Times New Roman"/>
          <w:szCs w:val="24"/>
          <w:lang w:eastAsia="ko-KR"/>
        </w:rPr>
        <w:t>(</w:t>
      </w:r>
      <w:r w:rsidR="0018215B" w:rsidRPr="004465BD">
        <w:rPr>
          <w:rFonts w:cs="Times New Roman"/>
          <w:szCs w:val="24"/>
        </w:rPr>
        <w:t xml:space="preserve">b) </w:t>
      </w:r>
      <w:r w:rsidR="0018215B" w:rsidRPr="004465BD">
        <w:rPr>
          <w:rFonts w:cs="Times New Roman"/>
          <w:szCs w:val="24"/>
          <w:u w:val="single"/>
        </w:rPr>
        <w:t>socio-demographics,</w:t>
      </w:r>
      <w:r w:rsidR="0018215B" w:rsidRPr="004465BD">
        <w:rPr>
          <w:rFonts w:cs="Times New Roman"/>
          <w:szCs w:val="24"/>
        </w:rPr>
        <w:t xml:space="preserve"> (c) </w:t>
      </w:r>
      <w:r w:rsidR="0018215B" w:rsidRPr="004465BD">
        <w:rPr>
          <w:rFonts w:cs="Times New Roman"/>
          <w:szCs w:val="24"/>
          <w:u w:val="single"/>
        </w:rPr>
        <w:t>health indicators,</w:t>
      </w:r>
      <w:r w:rsidR="0018215B" w:rsidRPr="004465BD">
        <w:rPr>
          <w:rFonts w:eastAsia="Calibri" w:cs="Times New Roman"/>
          <w:szCs w:val="24"/>
          <w:lang w:eastAsia="ko-KR"/>
        </w:rPr>
        <w:t xml:space="preserve"> (d) </w:t>
      </w:r>
      <w:r w:rsidR="0018215B" w:rsidRPr="004465BD">
        <w:rPr>
          <w:rFonts w:eastAsia="Calibri" w:cs="Times New Roman"/>
          <w:szCs w:val="24"/>
          <w:u w:val="single"/>
          <w:lang w:eastAsia="ko-KR"/>
        </w:rPr>
        <w:t>health care infrastructure attributes,</w:t>
      </w:r>
      <w:r w:rsidR="0018215B" w:rsidRPr="004465BD">
        <w:rPr>
          <w:rFonts w:eastAsia="Calibri" w:cs="Times New Roman"/>
          <w:szCs w:val="24"/>
          <w:lang w:eastAsia="ko-KR"/>
        </w:rPr>
        <w:t xml:space="preserve"> and (e) </w:t>
      </w:r>
      <w:r w:rsidR="0018215B" w:rsidRPr="004465BD">
        <w:rPr>
          <w:rFonts w:eastAsia="Calibri" w:cs="Times New Roman"/>
          <w:szCs w:val="24"/>
          <w:u w:val="single"/>
          <w:lang w:eastAsia="ko-KR"/>
        </w:rPr>
        <w:t>spatial factors</w:t>
      </w:r>
      <w:r w:rsidR="009633D8" w:rsidRPr="004465BD">
        <w:rPr>
          <w:rFonts w:cs="Times New Roman"/>
        </w:rPr>
        <w:t>.</w:t>
      </w:r>
    </w:p>
    <w:p w14:paraId="37247C31" w14:textId="5314678B" w:rsidR="005957A4" w:rsidRPr="004465BD" w:rsidRDefault="00FE40D8" w:rsidP="00EB5197">
      <w:pPr>
        <w:ind w:firstLine="432"/>
      </w:pPr>
      <w:r w:rsidRPr="004465BD">
        <w:t xml:space="preserve">The empirical analysis involves estimation of three different model system: a) </w:t>
      </w:r>
      <w:proofErr w:type="spellStart"/>
      <w:r w:rsidRPr="004465BD">
        <w:t>uni</w:t>
      </w:r>
      <w:proofErr w:type="spellEnd"/>
      <w:r w:rsidRPr="004465BD">
        <w:t xml:space="preserve">-directional linear regression models (ULRs) where we develop separate linear regression models for both COVID-19 weekly transmission rate and the weekly mobility patterns; b) </w:t>
      </w:r>
      <w:proofErr w:type="spellStart"/>
      <w:r w:rsidRPr="004465BD">
        <w:t>uni</w:t>
      </w:r>
      <w:proofErr w:type="spellEnd"/>
      <w:r w:rsidRPr="004465BD">
        <w:t xml:space="preserve">-directional mixed linear regression models (UMLRs) where we consider temporal dependencies within each ULR for COVID-19 weekly transmission rate and the weekly mobility patterns; and c) joint bi-directional mixed linear regression models (JBMLR) where we extend the UMLRs by allowing for the bi-directional impact across the two dependent variables while also controlling for the influence of common unobserved factors affecting the two variables. </w:t>
      </w:r>
      <w:r w:rsidR="005957A4" w:rsidRPr="004465BD">
        <w:t>The three model systems were compared based on Bayesian Information Criterion (BIC). The findings highlighted the superiority of the proposed simultaneous framework</w:t>
      </w:r>
      <w:r w:rsidRPr="004465BD">
        <w:t xml:space="preserve"> (JBMLR)</w:t>
      </w:r>
      <w:r w:rsidR="005957A4" w:rsidRPr="004465BD">
        <w:t xml:space="preserve"> over its counterparts in analyzing COVID-19 transmission rate</w:t>
      </w:r>
      <w:r w:rsidR="00053FE0" w:rsidRPr="004465BD">
        <w:t>s</w:t>
      </w:r>
      <w:r w:rsidR="005957A4" w:rsidRPr="004465BD">
        <w:t xml:space="preserve"> and mobility pattern</w:t>
      </w:r>
      <w:r w:rsidR="00053FE0" w:rsidRPr="004465BD">
        <w:t>s</w:t>
      </w:r>
      <w:r w:rsidR="005957A4" w:rsidRPr="004465BD">
        <w:t xml:space="preserve">. </w:t>
      </w:r>
    </w:p>
    <w:p w14:paraId="0D75721D" w14:textId="50D5192F" w:rsidR="002D6844" w:rsidRPr="004465BD" w:rsidRDefault="008B5401" w:rsidP="00EB5197">
      <w:pPr>
        <w:ind w:firstLine="432"/>
      </w:pPr>
      <w:r w:rsidRPr="004465BD">
        <w:rPr>
          <w:rFonts w:eastAsiaTheme="minorEastAsia"/>
        </w:rPr>
        <w:t xml:space="preserve">Model </w:t>
      </w:r>
      <w:r w:rsidR="00FE0909" w:rsidRPr="004465BD">
        <w:rPr>
          <w:rFonts w:eastAsiaTheme="minorEastAsia"/>
        </w:rPr>
        <w:t xml:space="preserve">estimation </w:t>
      </w:r>
      <w:r w:rsidR="002D6844" w:rsidRPr="004465BD">
        <w:rPr>
          <w:rFonts w:eastAsiaTheme="minorEastAsia"/>
        </w:rPr>
        <w:t>results</w:t>
      </w:r>
      <w:r w:rsidRPr="004465BD">
        <w:rPr>
          <w:rFonts w:eastAsiaTheme="minorEastAsia"/>
        </w:rPr>
        <w:t xml:space="preserve"> </w:t>
      </w:r>
      <w:r w:rsidR="00FE0909" w:rsidRPr="004465BD">
        <w:rPr>
          <w:rFonts w:eastAsiaTheme="minorEastAsia"/>
        </w:rPr>
        <w:t xml:space="preserve">highlight the presence of </w:t>
      </w:r>
      <w:r w:rsidRPr="004465BD">
        <w:rPr>
          <w:rFonts w:eastAsiaTheme="minorEastAsia"/>
        </w:rPr>
        <w:t>a complex and multi-phased relationship between COVID-19 transmission and mobility patterns.</w:t>
      </w:r>
      <w:r w:rsidR="002D6844" w:rsidRPr="004465BD">
        <w:rPr>
          <w:rFonts w:eastAsiaTheme="minorEastAsia"/>
        </w:rPr>
        <w:t xml:space="preserve"> </w:t>
      </w:r>
      <w:r w:rsidR="00FE0909" w:rsidRPr="004465BD">
        <w:rPr>
          <w:rFonts w:eastAsiaTheme="minorEastAsia"/>
        </w:rPr>
        <w:t xml:space="preserve">While </w:t>
      </w:r>
      <w:r w:rsidR="002D6844" w:rsidRPr="004465BD">
        <w:rPr>
          <w:rFonts w:eastAsiaTheme="minorEastAsia"/>
        </w:rPr>
        <w:t xml:space="preserve">the overall mobility effect shows a positive contribution in </w:t>
      </w:r>
      <w:r w:rsidR="005957A4" w:rsidRPr="004465BD">
        <w:rPr>
          <w:rFonts w:eastAsiaTheme="minorEastAsia"/>
        </w:rPr>
        <w:t xml:space="preserve">increasing </w:t>
      </w:r>
      <w:r w:rsidR="002D6844" w:rsidRPr="004465BD">
        <w:rPr>
          <w:rFonts w:eastAsiaTheme="minorEastAsia"/>
        </w:rPr>
        <w:t xml:space="preserve">COVID-19 </w:t>
      </w:r>
      <w:r w:rsidR="005957A4" w:rsidRPr="004465BD">
        <w:rPr>
          <w:rFonts w:eastAsiaTheme="minorEastAsia"/>
        </w:rPr>
        <w:t>transmission,</w:t>
      </w:r>
      <w:r w:rsidR="002D6844" w:rsidRPr="004465BD">
        <w:rPr>
          <w:rFonts w:eastAsiaTheme="minorEastAsia"/>
        </w:rPr>
        <w:t xml:space="preserve"> the impact is different across different phase</w:t>
      </w:r>
      <w:r w:rsidR="005957A4" w:rsidRPr="004465BD">
        <w:rPr>
          <w:rFonts w:eastAsiaTheme="minorEastAsia"/>
        </w:rPr>
        <w:t>s</w:t>
      </w:r>
      <w:r w:rsidR="002D6844" w:rsidRPr="004465BD">
        <w:rPr>
          <w:rFonts w:eastAsiaTheme="minorEastAsia"/>
        </w:rPr>
        <w:t xml:space="preserve"> of the pandemic. Similarly, COVID-19 transmission is found to be negatively associated with mobility</w:t>
      </w:r>
      <w:r w:rsidR="005957A4" w:rsidRPr="004465BD">
        <w:rPr>
          <w:rFonts w:eastAsiaTheme="minorEastAsia"/>
        </w:rPr>
        <w:t xml:space="preserve">. </w:t>
      </w:r>
      <w:r w:rsidR="004C213D" w:rsidRPr="004465BD">
        <w:rPr>
          <w:rFonts w:eastAsiaTheme="minorEastAsia"/>
        </w:rPr>
        <w:t>However,</w:t>
      </w:r>
      <w:r w:rsidR="002D6844" w:rsidRPr="004465BD">
        <w:rPr>
          <w:rFonts w:eastAsiaTheme="minorEastAsia"/>
        </w:rPr>
        <w:t xml:space="preserve"> the </w:t>
      </w:r>
      <w:r w:rsidR="005957A4" w:rsidRPr="004465BD">
        <w:rPr>
          <w:rFonts w:eastAsiaTheme="minorEastAsia"/>
        </w:rPr>
        <w:t xml:space="preserve">magnitude of the </w:t>
      </w:r>
      <w:r w:rsidR="002D6844" w:rsidRPr="004465BD">
        <w:rPr>
          <w:rFonts w:eastAsiaTheme="minorEastAsia"/>
        </w:rPr>
        <w:t xml:space="preserve">effect gradually went down as the pandemic progressed. Both these findings clearly highlight that </w:t>
      </w:r>
      <w:r w:rsidR="005957A4" w:rsidRPr="004465BD">
        <w:rPr>
          <w:rFonts w:eastAsiaTheme="minorEastAsia"/>
        </w:rPr>
        <w:t xml:space="preserve">the interplay between the two </w:t>
      </w:r>
      <w:r w:rsidR="002D6844" w:rsidRPr="004465BD">
        <w:rPr>
          <w:rFonts w:eastAsiaTheme="minorEastAsia"/>
        </w:rPr>
        <w:t xml:space="preserve">variables </w:t>
      </w:r>
      <w:r w:rsidR="0018215B" w:rsidRPr="004465BD">
        <w:rPr>
          <w:rFonts w:eastAsiaTheme="minorEastAsia"/>
        </w:rPr>
        <w:t>is</w:t>
      </w:r>
      <w:r w:rsidR="002D6844" w:rsidRPr="004465BD">
        <w:rPr>
          <w:rFonts w:eastAsiaTheme="minorEastAsia"/>
        </w:rPr>
        <w:t xml:space="preserve"> not constant but rather influenced by the specific phase of the pandemic. Further, </w:t>
      </w:r>
      <w:r w:rsidR="002D6844" w:rsidRPr="004465BD">
        <w:t>the significant impact of the common unobserved factors clearly provide credence to our hypothesis of the existence of the bi-directional relationship and the need to take into account such relationship while analyzing the COVID-19 transmission rate</w:t>
      </w:r>
      <w:r w:rsidR="005957A4" w:rsidRPr="004465BD">
        <w:t>s</w:t>
      </w:r>
      <w:r w:rsidR="002D6844" w:rsidRPr="004465BD">
        <w:t xml:space="preserve"> and the mobility pattern</w:t>
      </w:r>
      <w:r w:rsidR="005957A4" w:rsidRPr="004465BD">
        <w:t>s</w:t>
      </w:r>
      <w:r w:rsidR="002D6844" w:rsidRPr="004465BD">
        <w:t xml:space="preserve">. </w:t>
      </w:r>
    </w:p>
    <w:p w14:paraId="362299FD" w14:textId="618BA493" w:rsidR="00B961B1" w:rsidRPr="004465BD" w:rsidRDefault="00F041F1" w:rsidP="00EB5197">
      <w:pPr>
        <w:ind w:firstLine="432"/>
      </w:pPr>
      <w:r w:rsidRPr="004465BD">
        <w:t xml:space="preserve">The analysis was further augmented by undertaking a validation exercise using the final model parameter estimates on both estimation and hold-out samples. The results further confirm the suitability of the simultaneous model for capturing the interconnectedness across COVID and mobility, as it offers enhanced interpretability as well as greater predictive capability. An elasticity analysis was also conducted to illustrate the </w:t>
      </w:r>
      <w:r w:rsidR="00D8529A" w:rsidRPr="004465BD">
        <w:t xml:space="preserve">importance of the bi-directional model vis-à-vis the </w:t>
      </w:r>
      <w:proofErr w:type="spellStart"/>
      <w:r w:rsidR="00D8529A" w:rsidRPr="004465BD">
        <w:t>uni</w:t>
      </w:r>
      <w:proofErr w:type="spellEnd"/>
      <w:r w:rsidR="00D8529A" w:rsidRPr="004465BD">
        <w:t xml:space="preserve">-directional model. The </w:t>
      </w:r>
      <w:proofErr w:type="spellStart"/>
      <w:r w:rsidR="00D8529A" w:rsidRPr="004465BD">
        <w:t>uni</w:t>
      </w:r>
      <w:proofErr w:type="spellEnd"/>
      <w:r w:rsidR="00D8529A" w:rsidRPr="004465BD">
        <w:t xml:space="preserve">-directional models are prone to over or under-estimate the influence of different variables considered. </w:t>
      </w:r>
    </w:p>
    <w:p w14:paraId="0BB2A473" w14:textId="188C48AC" w:rsidR="00534D07" w:rsidRPr="004465BD" w:rsidRDefault="00FF4113" w:rsidP="00EB5197">
      <w:pPr>
        <w:ind w:firstLine="432"/>
        <w:rPr>
          <w:rFonts w:eastAsiaTheme="minorEastAsia"/>
        </w:rPr>
      </w:pPr>
      <w:r w:rsidRPr="004465BD">
        <w:rPr>
          <w:rFonts w:eastAsiaTheme="minorEastAsia"/>
        </w:rPr>
        <w:t xml:space="preserve">The findings of the study can be used to develop strategies for managing future pandemics and reducing their impact on public health and transportation systems. </w:t>
      </w:r>
      <w:r w:rsidR="000A523C" w:rsidRPr="004465BD">
        <w:rPr>
          <w:rFonts w:eastAsiaTheme="minorEastAsia"/>
        </w:rPr>
        <w:t xml:space="preserve">To further illustrate the practical application of our findings, let's consider a scenario where we manage public spaces such </w:t>
      </w:r>
      <w:r w:rsidR="000A523C" w:rsidRPr="004465BD">
        <w:rPr>
          <w:rFonts w:eastAsiaTheme="minorEastAsia"/>
        </w:rPr>
        <w:lastRenderedPageBreak/>
        <w:t xml:space="preserve">as restaurants and parks during a pandemic with changing transmission rates, comparing the use of unidirectional versus bidirectional models. In a unidirectional approach, public spaces might experience rigid, uniform closures whenever COVID-19 cases rise, only considering how transmission affects mobility. This reactive approach could lead to delayed reopening even as case numbers decrease, extending economic and social losses well beyond what may be required. On the other hand, a bidirectional model will be able to capture the dynamic interplay between disease transmission and mobility. It not only responds to how rising cases might reduce mobility but also prepares for the increase in mobility as cases decline. Hence, this model might suggest tightening measures like outdoor dining or limited occupancy as cases rise and then implementing a phased, data-driven reopening as transmission decreases. This proactive approach aligns public health measures more closely with both epidemiological data and public behavior shifts, maintaining public trust and compliance. By integrating this bidirectional perspective, policymakers can devise strategies that effectively manage both the virus’s spread and its socio-economic impacts, leading to more sustainable and successful pandemic management. </w:t>
      </w:r>
      <w:r w:rsidR="002B385F" w:rsidRPr="004465BD">
        <w:rPr>
          <w:rFonts w:eastAsiaTheme="minorEastAsia"/>
        </w:rPr>
        <w:t xml:space="preserve">Further, the </w:t>
      </w:r>
      <w:r w:rsidR="00206C01" w:rsidRPr="004465BD">
        <w:rPr>
          <w:rFonts w:eastAsiaTheme="minorEastAsia"/>
        </w:rPr>
        <w:t xml:space="preserve">proposed simultaneous approach can be applied across other fields where endogeneity plays a significant role, such as crash and citation </w:t>
      </w:r>
      <w:r w:rsidR="00BF3E9E" w:rsidRPr="004465BD">
        <w:rPr>
          <w:rFonts w:eastAsiaTheme="minorEastAsia"/>
        </w:rPr>
        <w:t>analysis,</w:t>
      </w:r>
      <w:r w:rsidR="00206C01" w:rsidRPr="004465BD">
        <w:rPr>
          <w:rFonts w:eastAsiaTheme="minorEastAsia"/>
        </w:rPr>
        <w:t xml:space="preserve"> crash severity and emergency medical service response time analysis.</w:t>
      </w:r>
    </w:p>
    <w:p w14:paraId="7EF0A67D" w14:textId="3CDEB03F" w:rsidR="00FF4113" w:rsidRPr="004465BD" w:rsidRDefault="00FF4113" w:rsidP="00EB5197">
      <w:pPr>
        <w:ind w:firstLine="432"/>
        <w:rPr>
          <w:rFonts w:eastAsiaTheme="minorEastAsia"/>
        </w:rPr>
      </w:pPr>
      <w:r w:rsidRPr="004465BD">
        <w:rPr>
          <w:rFonts w:eastAsiaTheme="minorEastAsia"/>
        </w:rPr>
        <w:t xml:space="preserve">To be sure, the study is not without limitations. </w:t>
      </w:r>
      <w:r w:rsidR="005B22D0" w:rsidRPr="004465BD">
        <w:rPr>
          <w:rFonts w:eastAsiaTheme="minorEastAsia"/>
        </w:rPr>
        <w:t>D</w:t>
      </w:r>
      <w:r w:rsidRPr="004465BD">
        <w:rPr>
          <w:rFonts w:eastAsiaTheme="minorEastAsia"/>
        </w:rPr>
        <w:t xml:space="preserve">ata availability issues prevent us from including </w:t>
      </w:r>
      <w:r w:rsidR="004139B9" w:rsidRPr="004465BD">
        <w:rPr>
          <w:rFonts w:eastAsiaTheme="minorEastAsia"/>
        </w:rPr>
        <w:t xml:space="preserve">the </w:t>
      </w:r>
      <w:r w:rsidRPr="004465BD">
        <w:rPr>
          <w:rFonts w:eastAsiaTheme="minorEastAsia"/>
        </w:rPr>
        <w:t>Omicron and post-Omicron phases</w:t>
      </w:r>
      <w:r w:rsidR="005B22D0" w:rsidRPr="004465BD">
        <w:rPr>
          <w:rFonts w:eastAsiaTheme="minorEastAsia"/>
        </w:rPr>
        <w:t xml:space="preserve"> in our analysis</w:t>
      </w:r>
      <w:r w:rsidRPr="004465BD">
        <w:rPr>
          <w:rFonts w:eastAsiaTheme="minorEastAsia"/>
        </w:rPr>
        <w:t xml:space="preserve">. Future research should incorporate data from these phases to obtain a more comprehensive understanding of the dynamics between COVID-19 transmission and </w:t>
      </w:r>
      <w:r w:rsidR="00684B2E" w:rsidRPr="004465BD">
        <w:rPr>
          <w:rFonts w:eastAsiaTheme="minorEastAsia"/>
        </w:rPr>
        <w:t xml:space="preserve">population </w:t>
      </w:r>
      <w:r w:rsidRPr="004465BD">
        <w:rPr>
          <w:rFonts w:eastAsiaTheme="minorEastAsia"/>
        </w:rPr>
        <w:t>mobility pattern</w:t>
      </w:r>
      <w:r w:rsidR="00684B2E" w:rsidRPr="004465BD">
        <w:rPr>
          <w:rFonts w:eastAsiaTheme="minorEastAsia"/>
        </w:rPr>
        <w:t>s</w:t>
      </w:r>
      <w:r w:rsidRPr="004465BD">
        <w:rPr>
          <w:rFonts w:eastAsiaTheme="minorEastAsia"/>
        </w:rPr>
        <w:t xml:space="preserve">.  </w:t>
      </w:r>
    </w:p>
    <w:p w14:paraId="30C5E655" w14:textId="77777777" w:rsidR="00AE2EAB" w:rsidRDefault="00AE2EAB" w:rsidP="00EB5197">
      <w:pPr>
        <w:ind w:firstLine="432"/>
        <w:rPr>
          <w:rFonts w:eastAsiaTheme="minorEastAsia"/>
        </w:rPr>
      </w:pPr>
    </w:p>
    <w:p w14:paraId="3B5D0B13" w14:textId="2219FF97" w:rsidR="00CD1AED" w:rsidRPr="0013735C" w:rsidRDefault="00FC34B2" w:rsidP="0013735C">
      <w:pPr>
        <w:pStyle w:val="Heading1"/>
      </w:pPr>
      <w:r w:rsidRPr="0013735C">
        <w:t>FUNDING SOURCE</w:t>
      </w:r>
    </w:p>
    <w:p w14:paraId="7B7EBDA7" w14:textId="77777777" w:rsidR="00CD1AED" w:rsidRDefault="00CD1AED" w:rsidP="00CD1AED">
      <w:r>
        <w:t>There was no funding source for this study.</w:t>
      </w:r>
    </w:p>
    <w:p w14:paraId="19943D8E" w14:textId="77777777" w:rsidR="00CD1AED" w:rsidRDefault="00CD1AED" w:rsidP="00751CD6"/>
    <w:p w14:paraId="1D246B1A" w14:textId="4051B4DC" w:rsidR="00AE2EAB" w:rsidRDefault="00AE2EAB" w:rsidP="00AE2EAB">
      <w:pPr>
        <w:pStyle w:val="Heading1"/>
        <w:rPr>
          <w:sz w:val="22"/>
        </w:rPr>
      </w:pPr>
      <w:r>
        <w:t>AUTHOR CONTRIBUTIONS</w:t>
      </w:r>
    </w:p>
    <w:p w14:paraId="192D7740" w14:textId="77777777" w:rsidR="00AE2EAB" w:rsidRDefault="00AE2EAB" w:rsidP="00AE2EAB">
      <w:pPr>
        <w:rPr>
          <w:rFonts w:cs="Times New Roman"/>
          <w:color w:val="000000" w:themeColor="text1"/>
        </w:rPr>
      </w:pPr>
      <w:r>
        <w:rPr>
          <w:rFonts w:cs="Times New Roman"/>
          <w:color w:val="000000" w:themeColor="text1"/>
        </w:rPr>
        <w:t>The authors confirm contribution to the paper as follows: study conception and design: Naveen Eluru, Tanmoy Bhowmik; data collection: Tanmoy Bhowmik; analysis and interpretation of results: Tanmoy Bhowmik, Naveen Eluru; draft manuscript preparation: Tanmoy Bhowmik, Naveen Eluru. All authors reviewed the results and approved the final version of the manuscript.</w:t>
      </w:r>
    </w:p>
    <w:p w14:paraId="3016E1FD" w14:textId="6F5C575C" w:rsidR="006D2B8B" w:rsidRPr="006D2B8B" w:rsidRDefault="006D2B8B" w:rsidP="00EB5197">
      <w:pPr>
        <w:rPr>
          <w:rFonts w:eastAsiaTheme="minorEastAsia"/>
        </w:rPr>
      </w:pPr>
    </w:p>
    <w:p w14:paraId="4F38EF81" w14:textId="4557D6AE" w:rsidR="00890A98" w:rsidRDefault="00890A98" w:rsidP="00EB5197">
      <w:pPr>
        <w:pStyle w:val="Heading1"/>
        <w:ind w:left="432" w:hanging="432"/>
      </w:pPr>
      <w:r>
        <w:t>REFERENCES</w:t>
      </w:r>
    </w:p>
    <w:p w14:paraId="623DB986" w14:textId="3BD22139" w:rsidR="004968DA" w:rsidRPr="004968DA" w:rsidRDefault="00890A98" w:rsidP="004968DA">
      <w:pPr>
        <w:widowControl w:val="0"/>
        <w:autoSpaceDE w:val="0"/>
        <w:autoSpaceDN w:val="0"/>
        <w:adjustRightInd w:val="0"/>
        <w:ind w:left="640" w:hanging="640"/>
        <w:rPr>
          <w:rFonts w:cs="Times New Roman"/>
          <w:noProof/>
        </w:rPr>
      </w:pPr>
      <w:r>
        <w:fldChar w:fldCharType="begin" w:fldLock="1"/>
      </w:r>
      <w:r>
        <w:instrText xml:space="preserve">ADDIN Mendeley Bibliography CSL_BIBLIOGRAPHY </w:instrText>
      </w:r>
      <w:r>
        <w:fldChar w:fldCharType="separate"/>
      </w:r>
      <w:r w:rsidR="004968DA" w:rsidRPr="004968DA">
        <w:rPr>
          <w:rFonts w:cs="Times New Roman"/>
          <w:noProof/>
        </w:rPr>
        <w:t xml:space="preserve">1. </w:t>
      </w:r>
      <w:r w:rsidR="004968DA" w:rsidRPr="004968DA">
        <w:rPr>
          <w:rFonts w:cs="Times New Roman"/>
          <w:noProof/>
        </w:rPr>
        <w:tab/>
        <w:t xml:space="preserve">The Global Economic Outlook During the COVID-19 Pandemic: A Changed World. </w:t>
      </w:r>
      <w:r w:rsidR="004968DA" w:rsidRPr="004968DA">
        <w:rPr>
          <w:rFonts w:cs="Times New Roman"/>
          <w:i/>
          <w:iCs/>
          <w:noProof/>
        </w:rPr>
        <w:t>the World Bank</w:t>
      </w:r>
      <w:r w:rsidR="004968DA" w:rsidRPr="004968DA">
        <w:rPr>
          <w:rFonts w:cs="Times New Roman"/>
          <w:noProof/>
        </w:rPr>
        <w:t>. Volume 12, 5–9. https://www.worldbank.org/en/news/feature/2020/06/08/the-global-economic-outlook-during-the-covid-19-pandemic-a-changed-world. Accessed Jul. 12, 2020.</w:t>
      </w:r>
    </w:p>
    <w:p w14:paraId="75033C51"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 </w:t>
      </w:r>
      <w:r w:rsidRPr="004968DA">
        <w:rPr>
          <w:rFonts w:cs="Times New Roman"/>
          <w:noProof/>
        </w:rPr>
        <w:tab/>
        <w:t xml:space="preserve">Engle, S., J. Stromme, and A. Zhou. Staying at Home: Mobility Effects of COVID-19. </w:t>
      </w:r>
      <w:r w:rsidRPr="004968DA">
        <w:rPr>
          <w:rFonts w:cs="Times New Roman"/>
          <w:i/>
          <w:iCs/>
          <w:noProof/>
        </w:rPr>
        <w:t>SSRN Electronic Journal</w:t>
      </w:r>
      <w:r w:rsidRPr="004968DA">
        <w:rPr>
          <w:rFonts w:cs="Times New Roman"/>
          <w:noProof/>
        </w:rPr>
        <w:t>, 2020. https://doi.org/10.2139/ssrn.3565703.</w:t>
      </w:r>
    </w:p>
    <w:p w14:paraId="182DEC2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3. </w:t>
      </w:r>
      <w:r w:rsidRPr="004968DA">
        <w:rPr>
          <w:rFonts w:cs="Times New Roman"/>
          <w:noProof/>
        </w:rPr>
        <w:tab/>
        <w:t xml:space="preserve">Friedson, A., D. McNichols, J. Sabia, and D. Dave. Did California’s Shelter-In-Place Order Work? Early Coronavirus-Related Public Health Effects. </w:t>
      </w:r>
      <w:r w:rsidRPr="004968DA">
        <w:rPr>
          <w:rFonts w:cs="Times New Roman"/>
          <w:i/>
          <w:iCs/>
          <w:noProof/>
        </w:rPr>
        <w:t>National Bureau of Economic Research</w:t>
      </w:r>
      <w:r w:rsidRPr="004968DA">
        <w:rPr>
          <w:rFonts w:cs="Times New Roman"/>
          <w:noProof/>
        </w:rPr>
        <w:t>, 2020. https://doi.org/10.3386/w26992.</w:t>
      </w:r>
    </w:p>
    <w:p w14:paraId="34CA8B2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4. </w:t>
      </w:r>
      <w:r w:rsidRPr="004968DA">
        <w:rPr>
          <w:rFonts w:cs="Times New Roman"/>
          <w:noProof/>
        </w:rPr>
        <w:tab/>
        <w:t xml:space="preserve">Courtemanche, C. J., J. Garuccio, A. Le, J. C. Pinkston, and A. Yelowitz. Did Social-Distancing Measures in Kentucky Help to Flatten the COVID-19 Curve? </w:t>
      </w:r>
      <w:r w:rsidRPr="004968DA">
        <w:rPr>
          <w:rFonts w:cs="Times New Roman"/>
          <w:i/>
          <w:iCs/>
          <w:noProof/>
        </w:rPr>
        <w:t>Institute for the study of free enterprise working papers</w:t>
      </w:r>
      <w:r w:rsidRPr="004968DA">
        <w:rPr>
          <w:rFonts w:cs="Times New Roman"/>
          <w:noProof/>
        </w:rPr>
        <w:t>, Vol. 4, 2020, pp. 1–23.</w:t>
      </w:r>
    </w:p>
    <w:p w14:paraId="594A682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5. </w:t>
      </w:r>
      <w:r w:rsidRPr="004968DA">
        <w:rPr>
          <w:rFonts w:cs="Times New Roman"/>
          <w:noProof/>
        </w:rPr>
        <w:tab/>
        <w:t xml:space="preserve">Badr, H. S., H. Du, M. Marshall, E. Dong, M. M. Squire, and L. M. Gardner. Association between Mobility Patterns and COVID-19 Transmission in the USA: A Mathematical Modelling Study. </w:t>
      </w:r>
      <w:r w:rsidRPr="004968DA">
        <w:rPr>
          <w:rFonts w:cs="Times New Roman"/>
          <w:i/>
          <w:iCs/>
          <w:noProof/>
        </w:rPr>
        <w:t>The Lancet Infectious Diseases</w:t>
      </w:r>
      <w:r w:rsidRPr="004968DA">
        <w:rPr>
          <w:rFonts w:cs="Times New Roman"/>
          <w:noProof/>
        </w:rPr>
        <w:t xml:space="preserve">, Vol. 20, No. 11, 2020, pp. 1247–1254. </w:t>
      </w:r>
      <w:r w:rsidRPr="004968DA">
        <w:rPr>
          <w:rFonts w:cs="Times New Roman"/>
          <w:noProof/>
        </w:rPr>
        <w:lastRenderedPageBreak/>
        <w:t>https://doi.org/10.1016/S1473-3099(20)30553-3.</w:t>
      </w:r>
    </w:p>
    <w:p w14:paraId="168BB250"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6. </w:t>
      </w:r>
      <w:r w:rsidRPr="004968DA">
        <w:rPr>
          <w:rFonts w:cs="Times New Roman"/>
          <w:noProof/>
        </w:rPr>
        <w:tab/>
        <w:t xml:space="preserve">Courtemanche, C., J. Garuccio, A. Le, J. Pinkston, and A. Yelowitz. Strong Social Distancing Measures in the United States Reduced the Covid-19 Growth Rate. </w:t>
      </w:r>
      <w:r w:rsidRPr="004968DA">
        <w:rPr>
          <w:rFonts w:cs="Times New Roman"/>
          <w:i/>
          <w:iCs/>
          <w:noProof/>
        </w:rPr>
        <w:t>Health Affairs</w:t>
      </w:r>
      <w:r w:rsidRPr="004968DA">
        <w:rPr>
          <w:rFonts w:cs="Times New Roman"/>
          <w:noProof/>
        </w:rPr>
        <w:t>, Vol. 39, No. 7, 2020, pp. 1237–1246. https://doi.org/10.1377/hlthaff.2020.00608.</w:t>
      </w:r>
    </w:p>
    <w:p w14:paraId="0844555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7. </w:t>
      </w:r>
      <w:r w:rsidRPr="004968DA">
        <w:rPr>
          <w:rFonts w:cs="Times New Roman"/>
          <w:noProof/>
        </w:rPr>
        <w:tab/>
        <w:t xml:space="preserve">Glaeser, E. L., C. Gorback, and S. J. Redding. JUE Insight: How Much Does COVID-19 Increase with Mobility? Evidence from New York and Four Other U.S. Cities. </w:t>
      </w:r>
      <w:r w:rsidRPr="004968DA">
        <w:rPr>
          <w:rFonts w:cs="Times New Roman"/>
          <w:i/>
          <w:iCs/>
          <w:noProof/>
        </w:rPr>
        <w:t>Journal of Urban Economics</w:t>
      </w:r>
      <w:r w:rsidRPr="004968DA">
        <w:rPr>
          <w:rFonts w:cs="Times New Roman"/>
          <w:noProof/>
        </w:rPr>
        <w:t>, Vol. 127, No. July 2020, 2022. https://doi.org/10.1016/j.jue.2020.103292.</w:t>
      </w:r>
    </w:p>
    <w:p w14:paraId="408BDABA"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8. </w:t>
      </w:r>
      <w:r w:rsidRPr="004968DA">
        <w:rPr>
          <w:rFonts w:cs="Times New Roman"/>
          <w:noProof/>
        </w:rPr>
        <w:tab/>
        <w:t xml:space="preserve">He, S., J. Lee, B. Langworthy, J. Xin, P. James, Y. Yang, and M. Wang. Delay in the Effect of Restricting Community Mobility on the Spread of COVID-19 during the First Wave in the United States. </w:t>
      </w:r>
      <w:r w:rsidRPr="004968DA">
        <w:rPr>
          <w:rFonts w:cs="Times New Roman"/>
          <w:i/>
          <w:iCs/>
          <w:noProof/>
        </w:rPr>
        <w:t>Open Forum Infectious Diseases</w:t>
      </w:r>
      <w:r w:rsidRPr="004968DA">
        <w:rPr>
          <w:rFonts w:cs="Times New Roman"/>
          <w:noProof/>
        </w:rPr>
        <w:t>, Vol. 9, No. 1, 2022, pp. 1–10. https://doi.org/10.1093/ofid/ofab586.</w:t>
      </w:r>
    </w:p>
    <w:p w14:paraId="5052FAC5"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9. </w:t>
      </w:r>
      <w:r w:rsidRPr="004968DA">
        <w:rPr>
          <w:rFonts w:cs="Times New Roman"/>
          <w:noProof/>
        </w:rPr>
        <w:tab/>
        <w:t xml:space="preserve">Inoue, T., and T. Okimoto. Exploring the Dynamic Relationship between Mobility and the Spread of COVID-19, and the Role of Vaccines. </w:t>
      </w:r>
      <w:r w:rsidRPr="004968DA">
        <w:rPr>
          <w:rFonts w:cs="Times New Roman"/>
          <w:i/>
          <w:iCs/>
          <w:noProof/>
        </w:rPr>
        <w:t>Applied Economics</w:t>
      </w:r>
      <w:r w:rsidRPr="004968DA">
        <w:rPr>
          <w:rFonts w:cs="Times New Roman"/>
          <w:noProof/>
        </w:rPr>
        <w:t>, Vol. 00, No. 00, 2023, pp. 1–15. https://doi.org/10.1080/00036846.2023.2269630.</w:t>
      </w:r>
    </w:p>
    <w:p w14:paraId="1A6B324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10. </w:t>
      </w:r>
      <w:r w:rsidRPr="004968DA">
        <w:rPr>
          <w:rFonts w:cs="Times New Roman"/>
          <w:noProof/>
        </w:rPr>
        <w:tab/>
        <w:t xml:space="preserve">Harris, J. E. Mobility Was a Significant Determinant of Reported COVID-19 Incidence during the Omicron Surge in the Most Populous U.S. Counties. </w:t>
      </w:r>
      <w:r w:rsidRPr="004968DA">
        <w:rPr>
          <w:rFonts w:cs="Times New Roman"/>
          <w:i/>
          <w:iCs/>
          <w:noProof/>
        </w:rPr>
        <w:t>BMC Infectious Diseases</w:t>
      </w:r>
      <w:r w:rsidRPr="004968DA">
        <w:rPr>
          <w:rFonts w:cs="Times New Roman"/>
          <w:noProof/>
        </w:rPr>
        <w:t>, Vol. 22, No. 1, 2022, pp. 1–11. https://doi.org/10.1186/s12879-022-07666-y.</w:t>
      </w:r>
    </w:p>
    <w:p w14:paraId="1D75B2E7"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11. </w:t>
      </w:r>
      <w:r w:rsidRPr="004968DA">
        <w:rPr>
          <w:rFonts w:cs="Times New Roman"/>
          <w:noProof/>
        </w:rPr>
        <w:tab/>
        <w:t xml:space="preserve">Panik, R. T., K. Watkins, and D. Ederer. Metrics of Mobility: Assessing the Impact of COVID-19 on Travel Behavior. </w:t>
      </w:r>
      <w:r w:rsidRPr="004968DA">
        <w:rPr>
          <w:rFonts w:cs="Times New Roman"/>
          <w:i/>
          <w:iCs/>
          <w:noProof/>
        </w:rPr>
        <w:t>Transportation Research Record</w:t>
      </w:r>
      <w:r w:rsidRPr="004968DA">
        <w:rPr>
          <w:rFonts w:cs="Times New Roman"/>
          <w:noProof/>
        </w:rPr>
        <w:t>, Vol. 2677, No. 4, 2023, pp. 583–596. https://doi.org/10.1177/03611981221131812.</w:t>
      </w:r>
    </w:p>
    <w:p w14:paraId="475D1638"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12. </w:t>
      </w:r>
      <w:r w:rsidRPr="004968DA">
        <w:rPr>
          <w:rFonts w:cs="Times New Roman"/>
          <w:noProof/>
        </w:rPr>
        <w:tab/>
        <w:t xml:space="preserve">Hao, X., R. Jiang, J. Deng, and X. Song. The Impact of COVID-19 on Human Mobility: A Case Study on New York. </w:t>
      </w:r>
      <w:r w:rsidRPr="004968DA">
        <w:rPr>
          <w:rFonts w:cs="Times New Roman"/>
          <w:i/>
          <w:iCs/>
          <w:noProof/>
        </w:rPr>
        <w:t>Proceedings - 2022 IEEE International Conference on Big Data, Big Data 2022</w:t>
      </w:r>
      <w:r w:rsidRPr="004968DA">
        <w:rPr>
          <w:rFonts w:cs="Times New Roman"/>
          <w:noProof/>
        </w:rPr>
        <w:t>, 2022, pp. 4365–4374. https://doi.org/10.1109/BigData55660.2022.10020695.</w:t>
      </w:r>
    </w:p>
    <w:p w14:paraId="592A3510"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13. </w:t>
      </w:r>
      <w:r w:rsidRPr="004968DA">
        <w:rPr>
          <w:rFonts w:cs="Times New Roman"/>
          <w:noProof/>
        </w:rPr>
        <w:tab/>
        <w:t>Gavi. No Title. https://www.gavi.org/vaccineswork/new-study-suggests-risk-extreme-pandemics-covid-19-could-increase-threefold-coming.</w:t>
      </w:r>
    </w:p>
    <w:p w14:paraId="43429508"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14. </w:t>
      </w:r>
      <w:r w:rsidRPr="004968DA">
        <w:rPr>
          <w:rFonts w:cs="Times New Roman"/>
          <w:noProof/>
        </w:rPr>
        <w:tab/>
        <w:t xml:space="preserve">University, J. H. COVID-19 Map - Johns Hopkins Coronavirus Resource Center. </w:t>
      </w:r>
      <w:r w:rsidRPr="004968DA">
        <w:rPr>
          <w:rFonts w:cs="Times New Roman"/>
          <w:i/>
          <w:iCs/>
          <w:noProof/>
        </w:rPr>
        <w:t>Johns Hopkins Coronavirus Resource Center</w:t>
      </w:r>
      <w:r w:rsidRPr="004968DA">
        <w:rPr>
          <w:rFonts w:cs="Times New Roman"/>
          <w:noProof/>
        </w:rPr>
        <w:t>. 1. https://coronavirus.jhu.edu/map.html%0Ahttps://coronavirus.jhu.edu/data/mortality%0Ahttps://coronavirus.jhu.edu/map.html%0Ahttps://coronavirus.jhu.edu/map.html%0Ahttps://coronavirus.jhu.edu/data/mortality%0Ahttps://coronavirus.jhu.edu/map.html. Accessed Jul. 11, 2020.</w:t>
      </w:r>
    </w:p>
    <w:p w14:paraId="6C5C3529"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15. </w:t>
      </w:r>
      <w:r w:rsidRPr="004968DA">
        <w:rPr>
          <w:rFonts w:cs="Times New Roman"/>
          <w:noProof/>
        </w:rPr>
        <w:tab/>
        <w:t xml:space="preserve">Couture, V., J. I. Dingel, A. Green, J. Handbury, and K. R. Williams. </w:t>
      </w:r>
      <w:r w:rsidRPr="004968DA">
        <w:rPr>
          <w:rFonts w:cs="Times New Roman"/>
          <w:i/>
          <w:iCs/>
          <w:noProof/>
        </w:rPr>
        <w:t>JUE Insight: Measuring Movement and Social Contact with Smartphone Data: A Real-Time Application to COVID-19</w:t>
      </w:r>
      <w:r w:rsidRPr="004968DA">
        <w:rPr>
          <w:rFonts w:cs="Times New Roman"/>
          <w:noProof/>
        </w:rPr>
        <w:t>. Publication 35. 2022.</w:t>
      </w:r>
    </w:p>
    <w:p w14:paraId="28705D42"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16. </w:t>
      </w:r>
      <w:r w:rsidRPr="004968DA">
        <w:rPr>
          <w:rFonts w:cs="Times New Roman"/>
          <w:noProof/>
        </w:rPr>
        <w:tab/>
        <w:t>COVID-19 Map - Johns Hopkins Coronavirus Resource Center. https://coronavirus.jhu.edu/map.html. Accessed Jan. 27, 2021.</w:t>
      </w:r>
    </w:p>
    <w:p w14:paraId="79B66E16"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17. </w:t>
      </w:r>
      <w:r w:rsidRPr="004968DA">
        <w:rPr>
          <w:rFonts w:cs="Times New Roman"/>
          <w:noProof/>
        </w:rPr>
        <w:tab/>
        <w:t>Our Data: The COVID Tracking Project. https://covidtracking.com/data. Accessed Aug. 13, 2020.</w:t>
      </w:r>
    </w:p>
    <w:p w14:paraId="66AA3C46"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18. </w:t>
      </w:r>
      <w:r w:rsidRPr="004968DA">
        <w:rPr>
          <w:rFonts w:cs="Times New Roman"/>
          <w:noProof/>
        </w:rPr>
        <w:tab/>
        <w:t xml:space="preserve">Faghih-Imani, A., N. Eluru, A. M. El-Geneidy, M. Rabbat, and U. Haq. How Land-Use and Urban Form Impact Bicycle Flows: Evidence from the Bicycle-Sharing System (BIXI) in Montreal. </w:t>
      </w:r>
      <w:r w:rsidRPr="004968DA">
        <w:rPr>
          <w:rFonts w:cs="Times New Roman"/>
          <w:i/>
          <w:iCs/>
          <w:noProof/>
        </w:rPr>
        <w:t>Journal of Transport Geography</w:t>
      </w:r>
      <w:r w:rsidRPr="004968DA">
        <w:rPr>
          <w:rFonts w:cs="Times New Roman"/>
          <w:noProof/>
        </w:rPr>
        <w:t>, Vol. 41, 2014, pp. 306–314. https://doi.org/10.1016/j.jtrangeo.2014.01.013.</w:t>
      </w:r>
    </w:p>
    <w:p w14:paraId="2BD7340E"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19. </w:t>
      </w:r>
      <w:r w:rsidRPr="004968DA">
        <w:rPr>
          <w:rFonts w:cs="Times New Roman"/>
          <w:noProof/>
        </w:rPr>
        <w:tab/>
        <w:t xml:space="preserve">Bhowmik, T., and N. Eluru. A Comprehensive County Level Model to Identify Factors Affecting Hospital Capacity and Predict Future Hospital Demand. </w:t>
      </w:r>
      <w:r w:rsidRPr="004968DA">
        <w:rPr>
          <w:rFonts w:cs="Times New Roman"/>
          <w:i/>
          <w:iCs/>
          <w:noProof/>
        </w:rPr>
        <w:t>Scientific Reports</w:t>
      </w:r>
      <w:r w:rsidRPr="004968DA">
        <w:rPr>
          <w:rFonts w:cs="Times New Roman"/>
          <w:noProof/>
        </w:rPr>
        <w:t xml:space="preserve">, Vol. </w:t>
      </w:r>
      <w:r w:rsidRPr="004968DA">
        <w:rPr>
          <w:rFonts w:cs="Times New Roman"/>
          <w:noProof/>
        </w:rPr>
        <w:lastRenderedPageBreak/>
        <w:t>11, No. 1, 2021, p. 23098. https://doi.org/10.1038/s41598-021-02376-y.</w:t>
      </w:r>
    </w:p>
    <w:p w14:paraId="79F4C2C4"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20. </w:t>
      </w:r>
      <w:r w:rsidRPr="004968DA">
        <w:rPr>
          <w:rFonts w:cs="Times New Roman"/>
          <w:noProof/>
        </w:rPr>
        <w:tab/>
        <w:t xml:space="preserve">Bhowmik, T., S. D. Tirtha, N. C. Iraganaboina, and N. Eluru. A Comprehensive Analysis of COVID-19 Transmission and Mortality Rates at the County Level in the United States Considering Socio-Demographics, Health Indicators, Mobility Trends and Health Care Infrastructure Attributes. </w:t>
      </w:r>
      <w:r w:rsidRPr="004968DA">
        <w:rPr>
          <w:rFonts w:cs="Times New Roman"/>
          <w:i/>
          <w:iCs/>
          <w:noProof/>
        </w:rPr>
        <w:t>PLoS ONE</w:t>
      </w:r>
      <w:r w:rsidRPr="004968DA">
        <w:rPr>
          <w:rFonts w:cs="Times New Roman"/>
          <w:noProof/>
        </w:rPr>
        <w:t>, Vol. 16, No. 4 April, 2021. https://doi.org/10.1371/journal.pone.0249133.</w:t>
      </w:r>
    </w:p>
    <w:p w14:paraId="3DE0D68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21. </w:t>
      </w:r>
      <w:r w:rsidRPr="004968DA">
        <w:rPr>
          <w:rFonts w:cs="Times New Roman"/>
          <w:noProof/>
        </w:rPr>
        <w:tab/>
        <w:t xml:space="preserve">Domènech-Montoliu, S., M. R. Pac-Sa, P. Vidal-Utrillas, M. Latorre-Poveda, A. Del Rio-González, S. Ferrando-Rubert, G. Ferrer-Abad, M. Sánchez-Urbano, L. Aparisi-Esteve, G. Badenes-Marques, B. Cervera-Ferrer, U. Clerig-Arnau, C. Dols-Bernad, M. Fontal-Carcel, L. Gomez-Lanas, D. Jovani-Sales, M. C. León-Domingo, M. D. Llopico-Vilanova, M. Moros-Blasco, C. Notari-Rodríguez, R. Ruíz-Puig, S. Valls-López, and A. Arnedo-Pena. “Mass Gathering Events and COVID-19 Transmission in Borriana (Spain): A Retrospective Cohort Study.” </w:t>
      </w:r>
      <w:r w:rsidRPr="004968DA">
        <w:rPr>
          <w:rFonts w:cs="Times New Roman"/>
          <w:i/>
          <w:iCs/>
          <w:noProof/>
        </w:rPr>
        <w:t>PLoS ONE</w:t>
      </w:r>
      <w:r w:rsidRPr="004968DA">
        <w:rPr>
          <w:rFonts w:cs="Times New Roman"/>
          <w:noProof/>
        </w:rPr>
        <w:t>, Vol. 16, No. 8 August, 2021, p. e0256747. https://doi.org/10.1371/journal.pone.0256747.</w:t>
      </w:r>
    </w:p>
    <w:p w14:paraId="75940171"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22. </w:t>
      </w:r>
      <w:r w:rsidRPr="004968DA">
        <w:rPr>
          <w:rFonts w:cs="Times New Roman"/>
          <w:noProof/>
        </w:rPr>
        <w:tab/>
        <w:t xml:space="preserve">Mehta, S. H., S. J. Clipman, A. Wesolowski, and S. S. Solomon. Holiday Gatherings, Mobility and SARS-CoV-2 Transmission: Results from 10 US States Following Thanksgiving. </w:t>
      </w:r>
      <w:r w:rsidRPr="004968DA">
        <w:rPr>
          <w:rFonts w:cs="Times New Roman"/>
          <w:i/>
          <w:iCs/>
          <w:noProof/>
        </w:rPr>
        <w:t>Scientific Reports</w:t>
      </w:r>
      <w:r w:rsidRPr="004968DA">
        <w:rPr>
          <w:rFonts w:cs="Times New Roman"/>
          <w:noProof/>
        </w:rPr>
        <w:t>, Vol. 11, No. 1, 2021, p. 17328. https://doi.org/10.1038/s41598-021-96779-6.</w:t>
      </w:r>
    </w:p>
    <w:p w14:paraId="4A082F8E"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23. </w:t>
      </w:r>
      <w:r w:rsidRPr="004968DA">
        <w:rPr>
          <w:rFonts w:cs="Times New Roman"/>
          <w:noProof/>
        </w:rPr>
        <w:tab/>
        <w:t xml:space="preserve">Neelon, B., F. Mutiso, N. T. Mueller, J. L. Pearce, and S. E. Benjamin-Neelon. Associations Between Governor Political Affiliation and COVID-19 Cases, Deaths, and Testing in the U.S. </w:t>
      </w:r>
      <w:r w:rsidRPr="004968DA">
        <w:rPr>
          <w:rFonts w:cs="Times New Roman"/>
          <w:i/>
          <w:iCs/>
          <w:noProof/>
        </w:rPr>
        <w:t>American Journal of Preventive Medicine</w:t>
      </w:r>
      <w:r w:rsidRPr="004968DA">
        <w:rPr>
          <w:rFonts w:cs="Times New Roman"/>
          <w:noProof/>
        </w:rPr>
        <w:t>, Vol. 61, No. 1, 2021, pp. 115–119. https://doi.org/10.1016/j.amepre.2021.01.034.</w:t>
      </w:r>
    </w:p>
    <w:p w14:paraId="37153CD1"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24. </w:t>
      </w:r>
      <w:r w:rsidRPr="004968DA">
        <w:rPr>
          <w:rFonts w:cs="Times New Roman"/>
          <w:noProof/>
        </w:rPr>
        <w:tab/>
        <w:t xml:space="preserve">Xie, Z., and D. Li. </w:t>
      </w:r>
      <w:r w:rsidRPr="004968DA">
        <w:rPr>
          <w:rFonts w:cs="Times New Roman"/>
          <w:i/>
          <w:iCs/>
          <w:noProof/>
        </w:rPr>
        <w:t>Health and Demographic Impact on COVID-19 Infection and Mortality in US Counties</w:t>
      </w:r>
      <w:r w:rsidRPr="004968DA">
        <w:rPr>
          <w:rFonts w:cs="Times New Roman"/>
          <w:noProof/>
        </w:rPr>
        <w:t>. 2020.</w:t>
      </w:r>
    </w:p>
    <w:p w14:paraId="44CAFCC9"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25. </w:t>
      </w:r>
      <w:r w:rsidRPr="004968DA">
        <w:rPr>
          <w:rFonts w:cs="Times New Roman"/>
          <w:noProof/>
        </w:rPr>
        <w:tab/>
        <w:t xml:space="preserve">Mollalo, A., B. Vahedi, and K. M. Rivera. GIS-Based Spatial Modeling of COVID-19 Incidence Rate in the Continental United States. </w:t>
      </w:r>
      <w:r w:rsidRPr="004968DA">
        <w:rPr>
          <w:rFonts w:cs="Times New Roman"/>
          <w:i/>
          <w:iCs/>
          <w:noProof/>
        </w:rPr>
        <w:t>Science of the Total Environment</w:t>
      </w:r>
      <w:r w:rsidRPr="004968DA">
        <w:rPr>
          <w:rFonts w:cs="Times New Roman"/>
          <w:noProof/>
        </w:rPr>
        <w:t>, Vol. 728, 2020. https://doi.org/10.1016/j.scitotenv.2020.138884.</w:t>
      </w:r>
    </w:p>
    <w:p w14:paraId="3A508336"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26. </w:t>
      </w:r>
      <w:r w:rsidRPr="004968DA">
        <w:rPr>
          <w:rFonts w:cs="Times New Roman"/>
          <w:noProof/>
        </w:rPr>
        <w:tab/>
        <w:t xml:space="preserve">Borjas, G. J. Demographic Determinants of Testing Incidence and COVID-19 Infections in New York City Neighborhoods. </w:t>
      </w:r>
      <w:r w:rsidRPr="004968DA">
        <w:rPr>
          <w:rFonts w:cs="Times New Roman"/>
          <w:i/>
          <w:iCs/>
          <w:noProof/>
        </w:rPr>
        <w:t>SSRN Electronic Journal</w:t>
      </w:r>
      <w:r w:rsidRPr="004968DA">
        <w:rPr>
          <w:rFonts w:cs="Times New Roman"/>
          <w:noProof/>
        </w:rPr>
        <w:t>, 2020. https://doi.org/10.2139/ssrn.3572329.</w:t>
      </w:r>
    </w:p>
    <w:p w14:paraId="3DC68070"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27. </w:t>
      </w:r>
      <w:r w:rsidRPr="004968DA">
        <w:rPr>
          <w:rFonts w:cs="Times New Roman"/>
          <w:noProof/>
        </w:rPr>
        <w:tab/>
        <w:t xml:space="preserve">Richards, G. The Economic Impact of Youth Travel. </w:t>
      </w:r>
      <w:r w:rsidRPr="004968DA">
        <w:rPr>
          <w:rFonts w:cs="Times New Roman"/>
          <w:i/>
          <w:iCs/>
          <w:noProof/>
        </w:rPr>
        <w:t>WYSE Travel Confederation/UNWTO The Power of Youth Travel</w:t>
      </w:r>
      <w:r w:rsidRPr="004968DA">
        <w:rPr>
          <w:rFonts w:cs="Times New Roman"/>
          <w:noProof/>
        </w:rPr>
        <w:t>, 2011, pp. 7–8.</w:t>
      </w:r>
    </w:p>
    <w:p w14:paraId="033A3005"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28. </w:t>
      </w:r>
      <w:r w:rsidRPr="004968DA">
        <w:rPr>
          <w:rFonts w:cs="Times New Roman"/>
          <w:noProof/>
        </w:rPr>
        <w:tab/>
        <w:t xml:space="preserve">Pan, Y., A. Darzi, A. Kabiri, G. Zhao, W. Luo, C. Xiong, and L. Zhang. Quantifying Human Mobility Behaviour Changes during the COVID-19 Outbreak in the United States. </w:t>
      </w:r>
      <w:r w:rsidRPr="004968DA">
        <w:rPr>
          <w:rFonts w:cs="Times New Roman"/>
          <w:i/>
          <w:iCs/>
          <w:noProof/>
        </w:rPr>
        <w:t>Scientific Reports</w:t>
      </w:r>
      <w:r w:rsidRPr="004968DA">
        <w:rPr>
          <w:rFonts w:cs="Times New Roman"/>
          <w:noProof/>
        </w:rPr>
        <w:t>, Vol. 10, No. 1, 2020, p. 20742. https://doi.org/10.1038/s41598-020-77751-2.</w:t>
      </w:r>
    </w:p>
    <w:p w14:paraId="6A50CF6F"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29. </w:t>
      </w:r>
      <w:r w:rsidRPr="004968DA">
        <w:rPr>
          <w:rFonts w:cs="Times New Roman"/>
          <w:noProof/>
        </w:rPr>
        <w:tab/>
        <w:t xml:space="preserve">Tamagusko, T., and A. Ferreira. Data-Driven Approach to Understand the Mobility Patterns of the Portuguese Population during the Covid-19 Pandemic. </w:t>
      </w:r>
      <w:r w:rsidRPr="004968DA">
        <w:rPr>
          <w:rFonts w:cs="Times New Roman"/>
          <w:i/>
          <w:iCs/>
          <w:noProof/>
        </w:rPr>
        <w:t>Sustainability (Switzerland)</w:t>
      </w:r>
      <w:r w:rsidRPr="004968DA">
        <w:rPr>
          <w:rFonts w:cs="Times New Roman"/>
          <w:noProof/>
        </w:rPr>
        <w:t>, Vol. 12, No. 22, 2020, pp. 1–12. https://doi.org/10.3390/su12229775.</w:t>
      </w:r>
    </w:p>
    <w:p w14:paraId="3932C831"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30. </w:t>
      </w:r>
      <w:r w:rsidRPr="004968DA">
        <w:rPr>
          <w:rFonts w:cs="Times New Roman"/>
          <w:noProof/>
        </w:rPr>
        <w:tab/>
        <w:t xml:space="preserve">Rantakokko, M., M. Mänty, and T. Rantanen. Mobility Decline in Old Age. </w:t>
      </w:r>
      <w:r w:rsidRPr="004968DA">
        <w:rPr>
          <w:rFonts w:cs="Times New Roman"/>
          <w:i/>
          <w:iCs/>
          <w:noProof/>
        </w:rPr>
        <w:t>Exercise and Sport Sciences Reviews</w:t>
      </w:r>
      <w:r w:rsidRPr="004968DA">
        <w:rPr>
          <w:rFonts w:cs="Times New Roman"/>
          <w:noProof/>
        </w:rPr>
        <w:t>, Vol. 41, No. 1, 2013, pp. 19–25. https://doi.org/10.1097/JES.0b013e3182556f1e.</w:t>
      </w:r>
    </w:p>
    <w:p w14:paraId="6C36DBBC"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31. </w:t>
      </w:r>
      <w:r w:rsidRPr="004968DA">
        <w:rPr>
          <w:rFonts w:cs="Times New Roman"/>
          <w:noProof/>
        </w:rPr>
        <w:tab/>
        <w:t xml:space="preserve">Lee, K. S., and J. K. Eom. Systematic Literature Review on Impacts of COVID-19 Pandemic and Corresponding Measures on Mobility. </w:t>
      </w:r>
      <w:r w:rsidRPr="004968DA">
        <w:rPr>
          <w:rFonts w:cs="Times New Roman"/>
          <w:i/>
          <w:iCs/>
          <w:noProof/>
        </w:rPr>
        <w:t>Transportation</w:t>
      </w:r>
      <w:r w:rsidRPr="004968DA">
        <w:rPr>
          <w:rFonts w:cs="Times New Roman"/>
          <w:noProof/>
        </w:rPr>
        <w:t>, 2023. https://doi.org/10.1007/s11116-023-10392-2.</w:t>
      </w:r>
    </w:p>
    <w:p w14:paraId="0F98B6A2" w14:textId="77777777" w:rsidR="004968DA" w:rsidRPr="004968DA" w:rsidRDefault="004968DA" w:rsidP="004968DA">
      <w:pPr>
        <w:widowControl w:val="0"/>
        <w:autoSpaceDE w:val="0"/>
        <w:autoSpaceDN w:val="0"/>
        <w:adjustRightInd w:val="0"/>
        <w:ind w:left="640" w:hanging="640"/>
        <w:rPr>
          <w:rFonts w:cs="Times New Roman"/>
          <w:noProof/>
        </w:rPr>
      </w:pPr>
      <w:r w:rsidRPr="004968DA">
        <w:rPr>
          <w:rFonts w:cs="Times New Roman"/>
          <w:noProof/>
        </w:rPr>
        <w:t xml:space="preserve">32. </w:t>
      </w:r>
      <w:r w:rsidRPr="004968DA">
        <w:rPr>
          <w:rFonts w:cs="Times New Roman"/>
          <w:noProof/>
        </w:rPr>
        <w:tab/>
        <w:t xml:space="preserve">Albassam, D., M. Nouh, and A. Hosoi. The Effectiveness of Mobility Restrictions on Controlling the Spread of COVID-19 in a Resistant Population. </w:t>
      </w:r>
      <w:r w:rsidRPr="004968DA">
        <w:rPr>
          <w:rFonts w:cs="Times New Roman"/>
          <w:i/>
          <w:iCs/>
          <w:noProof/>
        </w:rPr>
        <w:t xml:space="preserve">International Journal of </w:t>
      </w:r>
      <w:r w:rsidRPr="004968DA">
        <w:rPr>
          <w:rFonts w:cs="Times New Roman"/>
          <w:i/>
          <w:iCs/>
          <w:noProof/>
        </w:rPr>
        <w:lastRenderedPageBreak/>
        <w:t>Environmental Research and Public Health</w:t>
      </w:r>
      <w:r w:rsidRPr="004968DA">
        <w:rPr>
          <w:rFonts w:cs="Times New Roman"/>
          <w:noProof/>
        </w:rPr>
        <w:t>, Vol. 20, No. 7, 2023. https://doi.org/10.3390/ijerph20075343.</w:t>
      </w:r>
    </w:p>
    <w:p w14:paraId="5B3E444E" w14:textId="77777777" w:rsidR="00C15700" w:rsidRDefault="00890A98" w:rsidP="00EB5197">
      <w:pPr>
        <w:ind w:firstLine="360"/>
        <w:sectPr w:rsidR="00C15700" w:rsidSect="00130DFC">
          <w:pgSz w:w="12240" w:h="15840"/>
          <w:pgMar w:top="1440" w:right="1440" w:bottom="1440" w:left="1440" w:header="720" w:footer="720" w:gutter="0"/>
          <w:lnNumType w:countBy="1"/>
          <w:cols w:space="720"/>
          <w:docGrid w:linePitch="360"/>
        </w:sectPr>
      </w:pPr>
      <w:r>
        <w:fldChar w:fldCharType="end"/>
      </w:r>
    </w:p>
    <w:p w14:paraId="32806752" w14:textId="2D29F445" w:rsidR="00890A98" w:rsidRDefault="00C15700" w:rsidP="00C15700">
      <w:pPr>
        <w:pStyle w:val="Heading1"/>
      </w:pPr>
      <w:r>
        <w:lastRenderedPageBreak/>
        <w:t>Appendix</w:t>
      </w:r>
    </w:p>
    <w:p w14:paraId="292584EC" w14:textId="6EA23D1E" w:rsidR="00C15700" w:rsidRDefault="00C15700" w:rsidP="00C15700">
      <w:r>
        <w:t>Table A.1: Model Prediction Results (MPB and MAD)</w:t>
      </w:r>
    </w:p>
    <w:tbl>
      <w:tblPr>
        <w:tblW w:w="1096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56"/>
        <w:gridCol w:w="4129"/>
        <w:gridCol w:w="1540"/>
        <w:gridCol w:w="1540"/>
        <w:gridCol w:w="1111"/>
        <w:gridCol w:w="1389"/>
      </w:tblGrid>
      <w:tr w:rsidR="00C15700" w:rsidRPr="006714DF" w14:paraId="21AC9802" w14:textId="77777777" w:rsidTr="00332F0F">
        <w:trPr>
          <w:trHeight w:val="330"/>
        </w:trPr>
        <w:tc>
          <w:tcPr>
            <w:tcW w:w="1256" w:type="dxa"/>
            <w:vMerge w:val="restart"/>
            <w:shd w:val="clear" w:color="auto" w:fill="auto"/>
            <w:noWrap/>
            <w:vAlign w:val="bottom"/>
            <w:hideMark/>
          </w:tcPr>
          <w:p w14:paraId="5F66A50D"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Data</w:t>
            </w:r>
          </w:p>
        </w:tc>
        <w:tc>
          <w:tcPr>
            <w:tcW w:w="4129" w:type="dxa"/>
            <w:vMerge w:val="restart"/>
            <w:shd w:val="clear" w:color="auto" w:fill="auto"/>
            <w:noWrap/>
            <w:vAlign w:val="bottom"/>
            <w:hideMark/>
          </w:tcPr>
          <w:p w14:paraId="7FD6C0B5"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Model</w:t>
            </w:r>
          </w:p>
        </w:tc>
        <w:tc>
          <w:tcPr>
            <w:tcW w:w="3080" w:type="dxa"/>
            <w:gridSpan w:val="2"/>
            <w:shd w:val="clear" w:color="auto" w:fill="auto"/>
            <w:noWrap/>
            <w:vAlign w:val="center"/>
            <w:hideMark/>
          </w:tcPr>
          <w:p w14:paraId="6CABC98D"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COVID Model</w:t>
            </w:r>
          </w:p>
        </w:tc>
        <w:tc>
          <w:tcPr>
            <w:tcW w:w="2500" w:type="dxa"/>
            <w:gridSpan w:val="2"/>
            <w:shd w:val="clear" w:color="auto" w:fill="auto"/>
            <w:noWrap/>
            <w:vAlign w:val="center"/>
            <w:hideMark/>
          </w:tcPr>
          <w:p w14:paraId="15601259"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Mobility Model</w:t>
            </w:r>
          </w:p>
        </w:tc>
      </w:tr>
      <w:tr w:rsidR="00C15700" w:rsidRPr="006714DF" w14:paraId="5F43D973" w14:textId="77777777" w:rsidTr="00332F0F">
        <w:trPr>
          <w:trHeight w:val="315"/>
        </w:trPr>
        <w:tc>
          <w:tcPr>
            <w:tcW w:w="1256" w:type="dxa"/>
            <w:vMerge/>
            <w:tcBorders>
              <w:bottom w:val="single" w:sz="4" w:space="0" w:color="auto"/>
            </w:tcBorders>
            <w:vAlign w:val="center"/>
            <w:hideMark/>
          </w:tcPr>
          <w:p w14:paraId="755036A0" w14:textId="77777777" w:rsidR="00C15700" w:rsidRPr="006714DF" w:rsidRDefault="00C15700" w:rsidP="00332F0F">
            <w:pPr>
              <w:jc w:val="left"/>
              <w:rPr>
                <w:rFonts w:eastAsia="Times New Roman" w:cs="Times New Roman"/>
                <w:color w:val="000000"/>
                <w:szCs w:val="24"/>
              </w:rPr>
            </w:pPr>
          </w:p>
        </w:tc>
        <w:tc>
          <w:tcPr>
            <w:tcW w:w="4129" w:type="dxa"/>
            <w:vMerge/>
            <w:tcBorders>
              <w:bottom w:val="single" w:sz="4" w:space="0" w:color="auto"/>
            </w:tcBorders>
            <w:vAlign w:val="center"/>
            <w:hideMark/>
          </w:tcPr>
          <w:p w14:paraId="214C9748" w14:textId="77777777" w:rsidR="00C15700" w:rsidRPr="006714DF" w:rsidRDefault="00C15700" w:rsidP="00332F0F">
            <w:pPr>
              <w:jc w:val="left"/>
              <w:rPr>
                <w:rFonts w:eastAsia="Times New Roman" w:cs="Times New Roman"/>
                <w:color w:val="000000"/>
                <w:szCs w:val="24"/>
              </w:rPr>
            </w:pPr>
          </w:p>
        </w:tc>
        <w:tc>
          <w:tcPr>
            <w:tcW w:w="1540" w:type="dxa"/>
            <w:tcBorders>
              <w:bottom w:val="single" w:sz="4" w:space="0" w:color="auto"/>
            </w:tcBorders>
            <w:shd w:val="clear" w:color="auto" w:fill="auto"/>
            <w:noWrap/>
            <w:vAlign w:val="center"/>
            <w:hideMark/>
          </w:tcPr>
          <w:p w14:paraId="12546213"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MPB</w:t>
            </w:r>
          </w:p>
        </w:tc>
        <w:tc>
          <w:tcPr>
            <w:tcW w:w="1540" w:type="dxa"/>
            <w:tcBorders>
              <w:bottom w:val="single" w:sz="4" w:space="0" w:color="auto"/>
            </w:tcBorders>
            <w:shd w:val="clear" w:color="auto" w:fill="auto"/>
            <w:noWrap/>
            <w:vAlign w:val="center"/>
            <w:hideMark/>
          </w:tcPr>
          <w:p w14:paraId="4A43403A"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MAD</w:t>
            </w:r>
          </w:p>
        </w:tc>
        <w:tc>
          <w:tcPr>
            <w:tcW w:w="1111" w:type="dxa"/>
            <w:tcBorders>
              <w:bottom w:val="single" w:sz="4" w:space="0" w:color="auto"/>
            </w:tcBorders>
            <w:shd w:val="clear" w:color="auto" w:fill="auto"/>
            <w:noWrap/>
            <w:vAlign w:val="center"/>
            <w:hideMark/>
          </w:tcPr>
          <w:p w14:paraId="1103DC4C"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MPB</w:t>
            </w:r>
          </w:p>
        </w:tc>
        <w:tc>
          <w:tcPr>
            <w:tcW w:w="1389" w:type="dxa"/>
            <w:tcBorders>
              <w:bottom w:val="single" w:sz="4" w:space="0" w:color="auto"/>
            </w:tcBorders>
            <w:shd w:val="clear" w:color="auto" w:fill="auto"/>
            <w:noWrap/>
            <w:vAlign w:val="center"/>
            <w:hideMark/>
          </w:tcPr>
          <w:p w14:paraId="5C270050"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MAD</w:t>
            </w:r>
          </w:p>
        </w:tc>
      </w:tr>
      <w:tr w:rsidR="00C15700" w:rsidRPr="006714DF" w14:paraId="04670EBF" w14:textId="77777777" w:rsidTr="00332F0F">
        <w:trPr>
          <w:trHeight w:val="345"/>
        </w:trPr>
        <w:tc>
          <w:tcPr>
            <w:tcW w:w="1256" w:type="dxa"/>
            <w:vMerge w:val="restart"/>
            <w:tcBorders>
              <w:top w:val="single" w:sz="4" w:space="0" w:color="auto"/>
              <w:bottom w:val="single" w:sz="4" w:space="0" w:color="auto"/>
            </w:tcBorders>
            <w:shd w:val="clear" w:color="auto" w:fill="auto"/>
            <w:noWrap/>
            <w:vAlign w:val="center"/>
            <w:hideMark/>
          </w:tcPr>
          <w:p w14:paraId="48F9E931"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Estimation</w:t>
            </w:r>
          </w:p>
        </w:tc>
        <w:tc>
          <w:tcPr>
            <w:tcW w:w="4129" w:type="dxa"/>
            <w:tcBorders>
              <w:top w:val="single" w:sz="4" w:space="0" w:color="auto"/>
              <w:bottom w:val="single" w:sz="4" w:space="0" w:color="auto"/>
            </w:tcBorders>
            <w:shd w:val="clear" w:color="auto" w:fill="auto"/>
            <w:noWrap/>
            <w:vAlign w:val="center"/>
            <w:hideMark/>
          </w:tcPr>
          <w:p w14:paraId="3673E387"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 xml:space="preserve">Uni -directional linear regression model </w:t>
            </w:r>
          </w:p>
        </w:tc>
        <w:tc>
          <w:tcPr>
            <w:tcW w:w="1540" w:type="dxa"/>
            <w:tcBorders>
              <w:top w:val="single" w:sz="4" w:space="0" w:color="auto"/>
              <w:bottom w:val="single" w:sz="4" w:space="0" w:color="auto"/>
            </w:tcBorders>
            <w:shd w:val="clear" w:color="auto" w:fill="auto"/>
            <w:noWrap/>
            <w:vAlign w:val="center"/>
            <w:hideMark/>
          </w:tcPr>
          <w:p w14:paraId="16EC8D02"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10.21</w:t>
            </w:r>
          </w:p>
        </w:tc>
        <w:tc>
          <w:tcPr>
            <w:tcW w:w="1540" w:type="dxa"/>
            <w:tcBorders>
              <w:top w:val="single" w:sz="4" w:space="0" w:color="auto"/>
              <w:bottom w:val="single" w:sz="4" w:space="0" w:color="auto"/>
            </w:tcBorders>
            <w:shd w:val="clear" w:color="auto" w:fill="auto"/>
            <w:noWrap/>
            <w:vAlign w:val="center"/>
            <w:hideMark/>
          </w:tcPr>
          <w:p w14:paraId="0BEA4CD6"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36.47</w:t>
            </w:r>
          </w:p>
        </w:tc>
        <w:tc>
          <w:tcPr>
            <w:tcW w:w="1111" w:type="dxa"/>
            <w:tcBorders>
              <w:top w:val="single" w:sz="4" w:space="0" w:color="auto"/>
              <w:bottom w:val="single" w:sz="4" w:space="0" w:color="auto"/>
            </w:tcBorders>
            <w:shd w:val="clear" w:color="auto" w:fill="auto"/>
            <w:noWrap/>
            <w:vAlign w:val="center"/>
            <w:hideMark/>
          </w:tcPr>
          <w:p w14:paraId="36926FAE"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5.43</w:t>
            </w:r>
          </w:p>
        </w:tc>
        <w:tc>
          <w:tcPr>
            <w:tcW w:w="1389" w:type="dxa"/>
            <w:tcBorders>
              <w:top w:val="single" w:sz="4" w:space="0" w:color="auto"/>
              <w:bottom w:val="single" w:sz="4" w:space="0" w:color="auto"/>
            </w:tcBorders>
            <w:shd w:val="clear" w:color="auto" w:fill="auto"/>
            <w:noWrap/>
            <w:vAlign w:val="center"/>
            <w:hideMark/>
          </w:tcPr>
          <w:p w14:paraId="2AD33A0F"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19.29</w:t>
            </w:r>
          </w:p>
        </w:tc>
      </w:tr>
      <w:tr w:rsidR="00C15700" w:rsidRPr="006714DF" w14:paraId="588D16F4" w14:textId="77777777" w:rsidTr="00332F0F">
        <w:trPr>
          <w:trHeight w:val="330"/>
        </w:trPr>
        <w:tc>
          <w:tcPr>
            <w:tcW w:w="1256" w:type="dxa"/>
            <w:vMerge/>
            <w:tcBorders>
              <w:top w:val="single" w:sz="4" w:space="0" w:color="auto"/>
              <w:bottom w:val="single" w:sz="4" w:space="0" w:color="auto"/>
            </w:tcBorders>
            <w:vAlign w:val="center"/>
            <w:hideMark/>
          </w:tcPr>
          <w:p w14:paraId="00AD58D5" w14:textId="77777777" w:rsidR="00C15700" w:rsidRPr="006714DF" w:rsidRDefault="00C15700" w:rsidP="00332F0F">
            <w:pPr>
              <w:jc w:val="left"/>
              <w:rPr>
                <w:rFonts w:eastAsia="Times New Roman" w:cs="Times New Roman"/>
                <w:color w:val="000000"/>
                <w:szCs w:val="24"/>
              </w:rPr>
            </w:pPr>
          </w:p>
        </w:tc>
        <w:tc>
          <w:tcPr>
            <w:tcW w:w="4129" w:type="dxa"/>
            <w:tcBorders>
              <w:top w:val="single" w:sz="4" w:space="0" w:color="auto"/>
              <w:bottom w:val="single" w:sz="4" w:space="0" w:color="auto"/>
            </w:tcBorders>
            <w:shd w:val="clear" w:color="auto" w:fill="auto"/>
            <w:noWrap/>
            <w:vAlign w:val="center"/>
            <w:hideMark/>
          </w:tcPr>
          <w:p w14:paraId="153593A3"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Uni-directional mixed linear model</w:t>
            </w:r>
          </w:p>
        </w:tc>
        <w:tc>
          <w:tcPr>
            <w:tcW w:w="1540" w:type="dxa"/>
            <w:tcBorders>
              <w:top w:val="single" w:sz="4" w:space="0" w:color="auto"/>
              <w:bottom w:val="single" w:sz="4" w:space="0" w:color="auto"/>
            </w:tcBorders>
            <w:shd w:val="clear" w:color="auto" w:fill="auto"/>
            <w:noWrap/>
            <w:vAlign w:val="center"/>
            <w:hideMark/>
          </w:tcPr>
          <w:p w14:paraId="436D86CB"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8.96</w:t>
            </w:r>
          </w:p>
        </w:tc>
        <w:tc>
          <w:tcPr>
            <w:tcW w:w="1540" w:type="dxa"/>
            <w:tcBorders>
              <w:top w:val="single" w:sz="4" w:space="0" w:color="auto"/>
              <w:bottom w:val="single" w:sz="4" w:space="0" w:color="auto"/>
            </w:tcBorders>
            <w:shd w:val="clear" w:color="auto" w:fill="auto"/>
            <w:noWrap/>
            <w:vAlign w:val="center"/>
            <w:hideMark/>
          </w:tcPr>
          <w:p w14:paraId="5BD8F006"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33.61</w:t>
            </w:r>
          </w:p>
        </w:tc>
        <w:tc>
          <w:tcPr>
            <w:tcW w:w="1111" w:type="dxa"/>
            <w:tcBorders>
              <w:top w:val="single" w:sz="4" w:space="0" w:color="auto"/>
              <w:bottom w:val="single" w:sz="4" w:space="0" w:color="auto"/>
            </w:tcBorders>
            <w:shd w:val="clear" w:color="auto" w:fill="auto"/>
            <w:noWrap/>
            <w:vAlign w:val="center"/>
            <w:hideMark/>
          </w:tcPr>
          <w:p w14:paraId="2C7D0945"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5.11</w:t>
            </w:r>
          </w:p>
        </w:tc>
        <w:tc>
          <w:tcPr>
            <w:tcW w:w="1389" w:type="dxa"/>
            <w:tcBorders>
              <w:top w:val="single" w:sz="4" w:space="0" w:color="auto"/>
              <w:bottom w:val="single" w:sz="4" w:space="0" w:color="auto"/>
            </w:tcBorders>
            <w:shd w:val="clear" w:color="auto" w:fill="auto"/>
            <w:noWrap/>
            <w:vAlign w:val="center"/>
            <w:hideMark/>
          </w:tcPr>
          <w:p w14:paraId="53D975E8"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18.77</w:t>
            </w:r>
          </w:p>
        </w:tc>
      </w:tr>
      <w:tr w:rsidR="00C15700" w:rsidRPr="006714DF" w14:paraId="3E3DFB89" w14:textId="77777777" w:rsidTr="00332F0F">
        <w:trPr>
          <w:trHeight w:val="330"/>
        </w:trPr>
        <w:tc>
          <w:tcPr>
            <w:tcW w:w="1256" w:type="dxa"/>
            <w:vMerge/>
            <w:tcBorders>
              <w:top w:val="single" w:sz="4" w:space="0" w:color="auto"/>
              <w:bottom w:val="double" w:sz="4" w:space="0" w:color="auto"/>
            </w:tcBorders>
            <w:vAlign w:val="center"/>
            <w:hideMark/>
          </w:tcPr>
          <w:p w14:paraId="37B66808" w14:textId="77777777" w:rsidR="00C15700" w:rsidRPr="006714DF" w:rsidRDefault="00C15700" w:rsidP="00332F0F">
            <w:pPr>
              <w:jc w:val="left"/>
              <w:rPr>
                <w:rFonts w:eastAsia="Times New Roman" w:cs="Times New Roman"/>
                <w:color w:val="000000"/>
                <w:szCs w:val="24"/>
              </w:rPr>
            </w:pPr>
          </w:p>
        </w:tc>
        <w:tc>
          <w:tcPr>
            <w:tcW w:w="4129" w:type="dxa"/>
            <w:tcBorders>
              <w:top w:val="single" w:sz="4" w:space="0" w:color="auto"/>
              <w:bottom w:val="double" w:sz="4" w:space="0" w:color="auto"/>
            </w:tcBorders>
            <w:shd w:val="clear" w:color="auto" w:fill="auto"/>
            <w:noWrap/>
            <w:vAlign w:val="center"/>
            <w:hideMark/>
          </w:tcPr>
          <w:p w14:paraId="6BC1C921"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 xml:space="preserve">Joint bi-directional mixed model </w:t>
            </w:r>
          </w:p>
        </w:tc>
        <w:tc>
          <w:tcPr>
            <w:tcW w:w="1540" w:type="dxa"/>
            <w:tcBorders>
              <w:top w:val="single" w:sz="4" w:space="0" w:color="auto"/>
              <w:bottom w:val="double" w:sz="4" w:space="0" w:color="auto"/>
            </w:tcBorders>
            <w:shd w:val="clear" w:color="auto" w:fill="auto"/>
            <w:noWrap/>
            <w:vAlign w:val="center"/>
            <w:hideMark/>
          </w:tcPr>
          <w:p w14:paraId="044DE91C"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7.32</w:t>
            </w:r>
          </w:p>
        </w:tc>
        <w:tc>
          <w:tcPr>
            <w:tcW w:w="1540" w:type="dxa"/>
            <w:tcBorders>
              <w:top w:val="single" w:sz="4" w:space="0" w:color="auto"/>
              <w:bottom w:val="double" w:sz="4" w:space="0" w:color="auto"/>
            </w:tcBorders>
            <w:shd w:val="clear" w:color="auto" w:fill="auto"/>
            <w:noWrap/>
            <w:vAlign w:val="center"/>
            <w:hideMark/>
          </w:tcPr>
          <w:p w14:paraId="3BF47CDD"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26.83</w:t>
            </w:r>
          </w:p>
        </w:tc>
        <w:tc>
          <w:tcPr>
            <w:tcW w:w="1111" w:type="dxa"/>
            <w:tcBorders>
              <w:top w:val="single" w:sz="4" w:space="0" w:color="auto"/>
              <w:bottom w:val="double" w:sz="4" w:space="0" w:color="auto"/>
            </w:tcBorders>
            <w:shd w:val="clear" w:color="auto" w:fill="auto"/>
            <w:noWrap/>
            <w:vAlign w:val="center"/>
            <w:hideMark/>
          </w:tcPr>
          <w:p w14:paraId="2D66EBC6"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5.02</w:t>
            </w:r>
          </w:p>
        </w:tc>
        <w:tc>
          <w:tcPr>
            <w:tcW w:w="1389" w:type="dxa"/>
            <w:tcBorders>
              <w:top w:val="single" w:sz="4" w:space="0" w:color="auto"/>
              <w:bottom w:val="double" w:sz="4" w:space="0" w:color="auto"/>
            </w:tcBorders>
            <w:shd w:val="clear" w:color="auto" w:fill="auto"/>
            <w:noWrap/>
            <w:vAlign w:val="center"/>
            <w:hideMark/>
          </w:tcPr>
          <w:p w14:paraId="606FDB53"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15.53</w:t>
            </w:r>
          </w:p>
        </w:tc>
      </w:tr>
      <w:tr w:rsidR="00C15700" w:rsidRPr="006714DF" w14:paraId="70757087" w14:textId="77777777" w:rsidTr="00332F0F">
        <w:trPr>
          <w:trHeight w:val="330"/>
        </w:trPr>
        <w:tc>
          <w:tcPr>
            <w:tcW w:w="1256" w:type="dxa"/>
            <w:vMerge w:val="restart"/>
            <w:tcBorders>
              <w:top w:val="double" w:sz="4" w:space="0" w:color="auto"/>
            </w:tcBorders>
            <w:shd w:val="clear" w:color="auto" w:fill="auto"/>
            <w:noWrap/>
            <w:vAlign w:val="center"/>
            <w:hideMark/>
          </w:tcPr>
          <w:p w14:paraId="6AE77E53"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Validation</w:t>
            </w:r>
          </w:p>
        </w:tc>
        <w:tc>
          <w:tcPr>
            <w:tcW w:w="4129" w:type="dxa"/>
            <w:tcBorders>
              <w:top w:val="double" w:sz="4" w:space="0" w:color="auto"/>
            </w:tcBorders>
            <w:shd w:val="clear" w:color="auto" w:fill="auto"/>
            <w:noWrap/>
            <w:vAlign w:val="center"/>
            <w:hideMark/>
          </w:tcPr>
          <w:p w14:paraId="4DE621E6"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 xml:space="preserve">Uni -directional linear regression model </w:t>
            </w:r>
          </w:p>
        </w:tc>
        <w:tc>
          <w:tcPr>
            <w:tcW w:w="1540" w:type="dxa"/>
            <w:tcBorders>
              <w:top w:val="double" w:sz="4" w:space="0" w:color="auto"/>
            </w:tcBorders>
            <w:shd w:val="clear" w:color="auto" w:fill="auto"/>
            <w:noWrap/>
            <w:vAlign w:val="center"/>
            <w:hideMark/>
          </w:tcPr>
          <w:p w14:paraId="10AF5631"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13.73</w:t>
            </w:r>
          </w:p>
        </w:tc>
        <w:tc>
          <w:tcPr>
            <w:tcW w:w="1540" w:type="dxa"/>
            <w:tcBorders>
              <w:top w:val="double" w:sz="4" w:space="0" w:color="auto"/>
            </w:tcBorders>
            <w:shd w:val="clear" w:color="auto" w:fill="auto"/>
            <w:noWrap/>
            <w:vAlign w:val="center"/>
            <w:hideMark/>
          </w:tcPr>
          <w:p w14:paraId="318A3CEA"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46.32</w:t>
            </w:r>
          </w:p>
        </w:tc>
        <w:tc>
          <w:tcPr>
            <w:tcW w:w="1111" w:type="dxa"/>
            <w:tcBorders>
              <w:top w:val="double" w:sz="4" w:space="0" w:color="auto"/>
            </w:tcBorders>
            <w:shd w:val="clear" w:color="auto" w:fill="auto"/>
            <w:noWrap/>
            <w:vAlign w:val="center"/>
            <w:hideMark/>
          </w:tcPr>
          <w:p w14:paraId="1F4FAFCE"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9.58</w:t>
            </w:r>
          </w:p>
        </w:tc>
        <w:tc>
          <w:tcPr>
            <w:tcW w:w="1389" w:type="dxa"/>
            <w:tcBorders>
              <w:top w:val="double" w:sz="4" w:space="0" w:color="auto"/>
            </w:tcBorders>
            <w:shd w:val="clear" w:color="auto" w:fill="auto"/>
            <w:noWrap/>
            <w:vAlign w:val="center"/>
            <w:hideMark/>
          </w:tcPr>
          <w:p w14:paraId="4F1840A9"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29.72</w:t>
            </w:r>
          </w:p>
        </w:tc>
      </w:tr>
      <w:tr w:rsidR="00C15700" w:rsidRPr="006714DF" w14:paraId="085E862B" w14:textId="77777777" w:rsidTr="00332F0F">
        <w:trPr>
          <w:trHeight w:val="330"/>
        </w:trPr>
        <w:tc>
          <w:tcPr>
            <w:tcW w:w="1256" w:type="dxa"/>
            <w:vMerge/>
            <w:vAlign w:val="center"/>
            <w:hideMark/>
          </w:tcPr>
          <w:p w14:paraId="646AE2C7" w14:textId="77777777" w:rsidR="00C15700" w:rsidRPr="006714DF" w:rsidRDefault="00C15700" w:rsidP="00332F0F">
            <w:pPr>
              <w:jc w:val="left"/>
              <w:rPr>
                <w:rFonts w:eastAsia="Times New Roman" w:cs="Times New Roman"/>
                <w:color w:val="000000"/>
                <w:szCs w:val="24"/>
              </w:rPr>
            </w:pPr>
          </w:p>
        </w:tc>
        <w:tc>
          <w:tcPr>
            <w:tcW w:w="4129" w:type="dxa"/>
            <w:shd w:val="clear" w:color="auto" w:fill="auto"/>
            <w:noWrap/>
            <w:vAlign w:val="center"/>
            <w:hideMark/>
          </w:tcPr>
          <w:p w14:paraId="738AD052"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Uni-directional mixed linear model</w:t>
            </w:r>
          </w:p>
        </w:tc>
        <w:tc>
          <w:tcPr>
            <w:tcW w:w="1540" w:type="dxa"/>
            <w:shd w:val="clear" w:color="auto" w:fill="auto"/>
            <w:noWrap/>
            <w:vAlign w:val="center"/>
            <w:hideMark/>
          </w:tcPr>
          <w:p w14:paraId="2F66C670"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13.11</w:t>
            </w:r>
          </w:p>
        </w:tc>
        <w:tc>
          <w:tcPr>
            <w:tcW w:w="1540" w:type="dxa"/>
            <w:shd w:val="clear" w:color="auto" w:fill="auto"/>
            <w:noWrap/>
            <w:vAlign w:val="center"/>
            <w:hideMark/>
          </w:tcPr>
          <w:p w14:paraId="14D778DA"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44.17</w:t>
            </w:r>
          </w:p>
        </w:tc>
        <w:tc>
          <w:tcPr>
            <w:tcW w:w="1111" w:type="dxa"/>
            <w:shd w:val="clear" w:color="auto" w:fill="auto"/>
            <w:noWrap/>
            <w:vAlign w:val="center"/>
            <w:hideMark/>
          </w:tcPr>
          <w:p w14:paraId="29440595"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8.13</w:t>
            </w:r>
          </w:p>
        </w:tc>
        <w:tc>
          <w:tcPr>
            <w:tcW w:w="1389" w:type="dxa"/>
            <w:shd w:val="clear" w:color="auto" w:fill="auto"/>
            <w:noWrap/>
            <w:vAlign w:val="center"/>
            <w:hideMark/>
          </w:tcPr>
          <w:p w14:paraId="3196FC6C"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28.98</w:t>
            </w:r>
          </w:p>
        </w:tc>
      </w:tr>
      <w:tr w:rsidR="00C15700" w:rsidRPr="006714DF" w14:paraId="7503D96A" w14:textId="77777777" w:rsidTr="00332F0F">
        <w:trPr>
          <w:trHeight w:val="330"/>
        </w:trPr>
        <w:tc>
          <w:tcPr>
            <w:tcW w:w="1256" w:type="dxa"/>
            <w:vMerge/>
            <w:vAlign w:val="center"/>
            <w:hideMark/>
          </w:tcPr>
          <w:p w14:paraId="2D4DC550" w14:textId="77777777" w:rsidR="00C15700" w:rsidRPr="006714DF" w:rsidRDefault="00C15700" w:rsidP="00332F0F">
            <w:pPr>
              <w:jc w:val="left"/>
              <w:rPr>
                <w:rFonts w:eastAsia="Times New Roman" w:cs="Times New Roman"/>
                <w:color w:val="000000"/>
                <w:szCs w:val="24"/>
              </w:rPr>
            </w:pPr>
          </w:p>
        </w:tc>
        <w:tc>
          <w:tcPr>
            <w:tcW w:w="4129" w:type="dxa"/>
            <w:shd w:val="clear" w:color="auto" w:fill="auto"/>
            <w:noWrap/>
            <w:vAlign w:val="center"/>
            <w:hideMark/>
          </w:tcPr>
          <w:p w14:paraId="1B974F8D" w14:textId="77777777" w:rsidR="00C15700" w:rsidRPr="006714DF" w:rsidRDefault="00C15700" w:rsidP="00332F0F">
            <w:pPr>
              <w:jc w:val="left"/>
              <w:rPr>
                <w:rFonts w:eastAsia="Times New Roman" w:cs="Times New Roman"/>
                <w:color w:val="000000"/>
                <w:szCs w:val="24"/>
              </w:rPr>
            </w:pPr>
            <w:r w:rsidRPr="006714DF">
              <w:rPr>
                <w:rFonts w:eastAsia="Times New Roman" w:cs="Times New Roman"/>
                <w:color w:val="000000"/>
                <w:szCs w:val="24"/>
              </w:rPr>
              <w:t xml:space="preserve">Joint bi-directional mixed model </w:t>
            </w:r>
          </w:p>
        </w:tc>
        <w:tc>
          <w:tcPr>
            <w:tcW w:w="1540" w:type="dxa"/>
            <w:shd w:val="clear" w:color="auto" w:fill="auto"/>
            <w:noWrap/>
            <w:vAlign w:val="center"/>
            <w:hideMark/>
          </w:tcPr>
          <w:p w14:paraId="16D3A4A0"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12.51</w:t>
            </w:r>
          </w:p>
        </w:tc>
        <w:tc>
          <w:tcPr>
            <w:tcW w:w="1540" w:type="dxa"/>
            <w:shd w:val="clear" w:color="auto" w:fill="auto"/>
            <w:noWrap/>
            <w:vAlign w:val="center"/>
            <w:hideMark/>
          </w:tcPr>
          <w:p w14:paraId="505F3DC7"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40.98</w:t>
            </w:r>
          </w:p>
        </w:tc>
        <w:tc>
          <w:tcPr>
            <w:tcW w:w="1111" w:type="dxa"/>
            <w:shd w:val="clear" w:color="auto" w:fill="auto"/>
            <w:noWrap/>
            <w:vAlign w:val="center"/>
            <w:hideMark/>
          </w:tcPr>
          <w:p w14:paraId="70D1E936"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7.97</w:t>
            </w:r>
          </w:p>
        </w:tc>
        <w:tc>
          <w:tcPr>
            <w:tcW w:w="1389" w:type="dxa"/>
            <w:shd w:val="clear" w:color="auto" w:fill="auto"/>
            <w:noWrap/>
            <w:vAlign w:val="center"/>
            <w:hideMark/>
          </w:tcPr>
          <w:p w14:paraId="3FECA85D" w14:textId="77777777" w:rsidR="00C15700" w:rsidRPr="006714DF" w:rsidRDefault="00C15700" w:rsidP="00332F0F">
            <w:pPr>
              <w:jc w:val="center"/>
              <w:rPr>
                <w:rFonts w:eastAsia="Times New Roman" w:cs="Times New Roman"/>
                <w:color w:val="000000"/>
                <w:szCs w:val="24"/>
              </w:rPr>
            </w:pPr>
            <w:r w:rsidRPr="006714DF">
              <w:rPr>
                <w:rFonts w:eastAsia="Times New Roman" w:cs="Times New Roman"/>
                <w:color w:val="000000"/>
                <w:szCs w:val="24"/>
              </w:rPr>
              <w:t>26.53</w:t>
            </w:r>
          </w:p>
        </w:tc>
      </w:tr>
    </w:tbl>
    <w:p w14:paraId="72B0178F" w14:textId="77777777" w:rsidR="00C15700" w:rsidRDefault="00C15700" w:rsidP="00712AEC"/>
    <w:sectPr w:rsidR="00C15700" w:rsidSect="00130DFC">
      <w:headerReference w:type="default" r:id="rId15"/>
      <w:footerReference w:type="default" r:id="rId16"/>
      <w:pgSz w:w="15840" w:h="12240" w:orient="landscape"/>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718B3A" w14:textId="77777777" w:rsidR="005233A7" w:rsidRDefault="005233A7" w:rsidP="00A44840">
      <w:r>
        <w:separator/>
      </w:r>
    </w:p>
  </w:endnote>
  <w:endnote w:type="continuationSeparator" w:id="0">
    <w:p w14:paraId="5B30393E" w14:textId="77777777" w:rsidR="005233A7" w:rsidRDefault="005233A7" w:rsidP="00A4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768202"/>
      <w:docPartObj>
        <w:docPartGallery w:val="Page Numbers (Bottom of Page)"/>
        <w:docPartUnique/>
      </w:docPartObj>
    </w:sdtPr>
    <w:sdtEndPr>
      <w:rPr>
        <w:noProof/>
      </w:rPr>
    </w:sdtEndPr>
    <w:sdtContent>
      <w:p w14:paraId="25832771" w14:textId="7F42CA58" w:rsidR="00725D76" w:rsidRDefault="00725D76">
        <w:pPr>
          <w:pStyle w:val="Footer"/>
          <w:jc w:val="center"/>
        </w:pPr>
        <w:r>
          <w:fldChar w:fldCharType="begin"/>
        </w:r>
        <w:r>
          <w:instrText xml:space="preserve"> PAGE   \* MERGEFORMAT </w:instrText>
        </w:r>
        <w:r>
          <w:fldChar w:fldCharType="separate"/>
        </w:r>
        <w:r w:rsidR="006B53D0">
          <w:rPr>
            <w:noProof/>
          </w:rPr>
          <w:t>3</w:t>
        </w:r>
        <w:r>
          <w:rPr>
            <w:noProof/>
          </w:rPr>
          <w:fldChar w:fldCharType="end"/>
        </w:r>
      </w:p>
    </w:sdtContent>
  </w:sdt>
  <w:p w14:paraId="549BAE4E" w14:textId="77777777" w:rsidR="00725D76" w:rsidRDefault="00725D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9829796"/>
      <w:docPartObj>
        <w:docPartGallery w:val="Page Numbers (Bottom of Page)"/>
        <w:docPartUnique/>
      </w:docPartObj>
    </w:sdtPr>
    <w:sdtEndPr>
      <w:rPr>
        <w:noProof/>
      </w:rPr>
    </w:sdtEndPr>
    <w:sdtContent>
      <w:p w14:paraId="17AE848A" w14:textId="77777777" w:rsidR="00C15700" w:rsidRDefault="00C1570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D1F7322" w14:textId="77777777" w:rsidR="00C15700" w:rsidRDefault="00C157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544CD7" w14:textId="77777777" w:rsidR="005233A7" w:rsidRDefault="005233A7" w:rsidP="00A44840">
      <w:r>
        <w:separator/>
      </w:r>
    </w:p>
  </w:footnote>
  <w:footnote w:type="continuationSeparator" w:id="0">
    <w:p w14:paraId="75289CAE" w14:textId="77777777" w:rsidR="005233A7" w:rsidRDefault="005233A7" w:rsidP="00A44840">
      <w:r>
        <w:continuationSeparator/>
      </w:r>
    </w:p>
  </w:footnote>
  <w:footnote w:id="1">
    <w:p w14:paraId="3D717A95" w14:textId="4CA9B1DD" w:rsidR="00A867E7" w:rsidRDefault="00A867E7" w:rsidP="00A867E7">
      <w:pPr>
        <w:pStyle w:val="FootnoteText"/>
      </w:pPr>
      <w:r w:rsidRPr="00FD482B">
        <w:rPr>
          <w:rStyle w:val="FootnoteReference"/>
        </w:rPr>
        <w:footnoteRef/>
      </w:r>
      <w:r w:rsidRPr="00FD482B">
        <w:t xml:space="preserve"> </w:t>
      </w:r>
      <w:r w:rsidR="00967EE8" w:rsidRPr="00FD482B">
        <w:t>It</w:t>
      </w:r>
      <w:r w:rsidRPr="00FD482B">
        <w:t xml:space="preserve"> is beyond the scope of our paper to extensively review the vast literature concerning uni-directional models that separately analyze the impacts of COVID-19 on mobility and mobility's effects on COVID-19 transmission. (Please see </w:t>
      </w:r>
      <w:r w:rsidRPr="00FD482B">
        <w:fldChar w:fldCharType="begin" w:fldLock="1"/>
      </w:r>
      <w:r w:rsidR="004968DA" w:rsidRPr="00FD482B">
        <w:instrText>ADDIN CSL_CITATION {"citationItems":[{"id":"ITEM-1","itemData":{"DOI":"10.1007/s11116-023-10392-2","ISSN":"15729435","abstract":"The unprecedented COVID-19 outbreak has significantly influenced our daily life, and COVID-19’s spread is inevitably associated with human mobility. Given the pandemic’s severity and extent of spread, a timely and comprehensive synthesis of the current state of research is needed to understand the pandemic’s impact on human mobility and corresponding government measures. This study examined the relevant literature published to the present (March 2023), identified research trends, and conducted a systematic review of evidence regarding transport’s response to COVID-19. We identified key research agendas and synthesized the results, examining: (1) mobility changes by transport modes analyzed regardless of government policy implementation, using empirical data and survey data; (2) the effect of diverse government interventions to reduce mobility and limit COVID-19 spread, and controversial issues on travel restriction policy effects; and (3) future research issues. The findings showed a strong relationship between the pandemic and mobility, with significant impacts on decreased overall mobility, a remarkable drop in transit ridership, changes in travel behavior, and improved traffic safety. Government implemented various non-pharmaceutical countermeasures, such as city lockdowns, travel restrictions, and social distancing. Many studies showed such interventions were effective. However, some researchers reported inconsistent outcomes. This review provides urban and transport planners with valuable insights to facilitate better preparation for future health emergencies that affect transportation.","author":[{"dropping-particle":"","family":"Lee","given":"Kwang Sub","non-dropping-particle":"","parse-names":false,"suffix":""},{"dropping-particle":"","family":"Eom","given":"Jin Ki","non-dropping-particle":"","parse-names":false,"suffix":""}],"container-title":"Transportation","id":"ITEM-1","issued":{"date-parts":[["2023"]]},"title":"Systematic literature review on impacts of COVID-19 pandemic and corresponding measures on mobility","type":"article-journal"},"uris":["http://www.mendeley.com/documents/?uuid=faa72ed5-ae5e-41bf-ab05-6b8c2c51dd10"]},{"id":"ITEM-2","itemData":{"DOI":"10.3390/ijerph20075343","ISSN":"16604601","PMID":"37047958","abstract":"Human mobility plays an important role in the spread of COVID-19. Given this knowledge, countries implemented mobility-restricting policies. Concomitantly, as the pandemic progressed, population resistance to the virus increased via natural immunity and vaccination. We address the question: “What is the impact of mobility-restricting measures on a resistant population?” We consider two factors: different types of points of interest (POIs)—including transit stations, groceries and pharmacies, retail and recreation, workplaces, and parks—and the emergence of the Delta variant. We studied a group of 14 countries and estimated COVID-19 transmission based on the type of POI, the fraction of population resistance, and the presence of the Delta variant using a Pearson correlation between mobility and the growth rate of cases. We find that retail and recreation venues, transit stations, and workplaces are the POIs that benefit the most from mobility restrictions, mainly if the fraction of the population with resistance is below 25–30%. Groceries and pharmacies may benefit from mobility restrictions when the population resistance fraction is low, whereas in parks, there is little advantage to mobility-restricting measures. These results are consistent for both the original strain and the Delta variant; Omicron data were not included in this work.","author":[{"dropping-particle":"","family":"Albassam","given":"Dina","non-dropping-particle":"","parse-names":false,"suffix":""},{"dropping-particle":"","family":"Nouh","given":"Mariam","non-dropping-particle":"","parse-names":false,"suffix":""},{"dropping-particle":"","family":"Hosoi","given":"Anette","non-dropping-particle":"","parse-names":false,"suffix":""}],"container-title":"International Journal of Environmental Research and Public Health","id":"ITEM-2","issue":"7","issued":{"date-parts":[["2023"]]},"title":"The Effectiveness of Mobility Restrictions on Controlling the Spread of COVID-19 in a Resistant Population","type":"article-journal","volume":"20"},"uris":["http://www.mendeley.com/documents/?uuid=92ca0be0-beb2-4371-88b7-a5a6bfee3969"]}],"mendeley":{"formattedCitation":"(&lt;i&gt;31&lt;/i&gt;, &lt;i&gt;32&lt;/i&gt;)","plainTextFormattedCitation":"(31, 32)","previouslyFormattedCitation":"(&lt;i&gt;31&lt;/i&gt;, &lt;i&gt;32&lt;/i&gt;)"},"properties":{"noteIndex":0},"schema":"https://github.com/citation-style-language/schema/raw/master/csl-citation.json"}</w:instrText>
      </w:r>
      <w:r w:rsidRPr="00FD482B">
        <w:fldChar w:fldCharType="separate"/>
      </w:r>
      <w:r w:rsidR="003A5A4F" w:rsidRPr="00FD482B">
        <w:rPr>
          <w:noProof/>
        </w:rPr>
        <w:t>(</w:t>
      </w:r>
      <w:r w:rsidR="003A5A4F" w:rsidRPr="00FD482B">
        <w:rPr>
          <w:i/>
          <w:noProof/>
        </w:rPr>
        <w:t>31</w:t>
      </w:r>
      <w:r w:rsidR="003A5A4F" w:rsidRPr="00FD482B">
        <w:rPr>
          <w:noProof/>
        </w:rPr>
        <w:t xml:space="preserve">, </w:t>
      </w:r>
      <w:r w:rsidR="003A5A4F" w:rsidRPr="00FD482B">
        <w:rPr>
          <w:i/>
          <w:noProof/>
        </w:rPr>
        <w:t>32</w:t>
      </w:r>
      <w:r w:rsidR="003A5A4F" w:rsidRPr="00FD482B">
        <w:rPr>
          <w:noProof/>
        </w:rPr>
        <w:t>)</w:t>
      </w:r>
      <w:r w:rsidRPr="00FD482B">
        <w:fldChar w:fldCharType="end"/>
      </w:r>
      <w:r w:rsidRPr="00FD482B">
        <w:t xml:space="preserve"> for detailed literature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95A64" w14:textId="77777777" w:rsidR="00C15700" w:rsidRDefault="00C157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55630"/>
    <w:multiLevelType w:val="hybridMultilevel"/>
    <w:tmpl w:val="616E0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44A23"/>
    <w:multiLevelType w:val="hybridMultilevel"/>
    <w:tmpl w:val="ACDE3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767AC"/>
    <w:multiLevelType w:val="hybridMultilevel"/>
    <w:tmpl w:val="DB281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D33EA4"/>
    <w:multiLevelType w:val="hybridMultilevel"/>
    <w:tmpl w:val="CF42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A778D"/>
    <w:multiLevelType w:val="hybridMultilevel"/>
    <w:tmpl w:val="5DE0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E0D6C"/>
    <w:multiLevelType w:val="hybridMultilevel"/>
    <w:tmpl w:val="251AD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AB2B42"/>
    <w:multiLevelType w:val="hybridMultilevel"/>
    <w:tmpl w:val="76646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8534D5"/>
    <w:multiLevelType w:val="hybridMultilevel"/>
    <w:tmpl w:val="C2AA699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49B8640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55E46259"/>
    <w:multiLevelType w:val="hybridMultilevel"/>
    <w:tmpl w:val="94A06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83C27"/>
    <w:multiLevelType w:val="hybridMultilevel"/>
    <w:tmpl w:val="D8CA3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5096669">
    <w:abstractNumId w:val="8"/>
  </w:num>
  <w:num w:numId="2" w16cid:durableId="845172478">
    <w:abstractNumId w:val="7"/>
  </w:num>
  <w:num w:numId="3" w16cid:durableId="1467045732">
    <w:abstractNumId w:val="5"/>
  </w:num>
  <w:num w:numId="4" w16cid:durableId="2123725308">
    <w:abstractNumId w:val="2"/>
  </w:num>
  <w:num w:numId="5" w16cid:durableId="802772460">
    <w:abstractNumId w:val="8"/>
  </w:num>
  <w:num w:numId="6" w16cid:durableId="1968702415">
    <w:abstractNumId w:val="10"/>
  </w:num>
  <w:num w:numId="7" w16cid:durableId="1111432560">
    <w:abstractNumId w:val="0"/>
  </w:num>
  <w:num w:numId="8" w16cid:durableId="678116346">
    <w:abstractNumId w:val="3"/>
  </w:num>
  <w:num w:numId="9" w16cid:durableId="1640263938">
    <w:abstractNumId w:val="6"/>
  </w:num>
  <w:num w:numId="10" w16cid:durableId="343439899">
    <w:abstractNumId w:val="4"/>
  </w:num>
  <w:num w:numId="11" w16cid:durableId="1773940617">
    <w:abstractNumId w:val="9"/>
  </w:num>
  <w:num w:numId="12" w16cid:durableId="647634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MTEzNrQ0MzY3t7BU0lEKTi0uzszPAykwM6oFAOP9n/stAAAA"/>
  </w:docVars>
  <w:rsids>
    <w:rsidRoot w:val="004F5953"/>
    <w:rsid w:val="00000AEE"/>
    <w:rsid w:val="00000CCD"/>
    <w:rsid w:val="000010D2"/>
    <w:rsid w:val="00001413"/>
    <w:rsid w:val="000016BD"/>
    <w:rsid w:val="00001C65"/>
    <w:rsid w:val="00001CF3"/>
    <w:rsid w:val="00002DE3"/>
    <w:rsid w:val="000035E8"/>
    <w:rsid w:val="00004F44"/>
    <w:rsid w:val="00004F97"/>
    <w:rsid w:val="00005D08"/>
    <w:rsid w:val="00005EC9"/>
    <w:rsid w:val="000063F6"/>
    <w:rsid w:val="0000699A"/>
    <w:rsid w:val="00006A32"/>
    <w:rsid w:val="00006B17"/>
    <w:rsid w:val="000076F3"/>
    <w:rsid w:val="000106E1"/>
    <w:rsid w:val="00012A31"/>
    <w:rsid w:val="00013B0D"/>
    <w:rsid w:val="00014306"/>
    <w:rsid w:val="00015122"/>
    <w:rsid w:val="000166FD"/>
    <w:rsid w:val="0001685D"/>
    <w:rsid w:val="00016C25"/>
    <w:rsid w:val="00016CCB"/>
    <w:rsid w:val="00017B5C"/>
    <w:rsid w:val="0002071A"/>
    <w:rsid w:val="00020930"/>
    <w:rsid w:val="00021A0D"/>
    <w:rsid w:val="0002292C"/>
    <w:rsid w:val="00022AE6"/>
    <w:rsid w:val="00022D83"/>
    <w:rsid w:val="000233A2"/>
    <w:rsid w:val="0002387B"/>
    <w:rsid w:val="00024BF7"/>
    <w:rsid w:val="00024C3D"/>
    <w:rsid w:val="00024DB6"/>
    <w:rsid w:val="0002580F"/>
    <w:rsid w:val="00025FA2"/>
    <w:rsid w:val="00026324"/>
    <w:rsid w:val="000265B8"/>
    <w:rsid w:val="000268A3"/>
    <w:rsid w:val="00026C6C"/>
    <w:rsid w:val="00026DB9"/>
    <w:rsid w:val="00027419"/>
    <w:rsid w:val="00027594"/>
    <w:rsid w:val="000278B1"/>
    <w:rsid w:val="00030C7D"/>
    <w:rsid w:val="00030D6A"/>
    <w:rsid w:val="00030DF2"/>
    <w:rsid w:val="0003174A"/>
    <w:rsid w:val="00032BC2"/>
    <w:rsid w:val="000335EC"/>
    <w:rsid w:val="0003714A"/>
    <w:rsid w:val="00037A3E"/>
    <w:rsid w:val="00040589"/>
    <w:rsid w:val="00040A14"/>
    <w:rsid w:val="00041E90"/>
    <w:rsid w:val="00042383"/>
    <w:rsid w:val="000429D8"/>
    <w:rsid w:val="00042CBC"/>
    <w:rsid w:val="0004313D"/>
    <w:rsid w:val="00044857"/>
    <w:rsid w:val="00045784"/>
    <w:rsid w:val="000458C2"/>
    <w:rsid w:val="00045F4B"/>
    <w:rsid w:val="0004677D"/>
    <w:rsid w:val="00046C1A"/>
    <w:rsid w:val="00046C81"/>
    <w:rsid w:val="00046E1E"/>
    <w:rsid w:val="000504F4"/>
    <w:rsid w:val="00050570"/>
    <w:rsid w:val="00051816"/>
    <w:rsid w:val="000524B7"/>
    <w:rsid w:val="000538A2"/>
    <w:rsid w:val="00053A4F"/>
    <w:rsid w:val="00053FE0"/>
    <w:rsid w:val="00054D6E"/>
    <w:rsid w:val="00055B1D"/>
    <w:rsid w:val="00056CD8"/>
    <w:rsid w:val="000608D1"/>
    <w:rsid w:val="00061118"/>
    <w:rsid w:val="000617BA"/>
    <w:rsid w:val="00061B6C"/>
    <w:rsid w:val="000628BA"/>
    <w:rsid w:val="00062A9B"/>
    <w:rsid w:val="000634C2"/>
    <w:rsid w:val="0006464F"/>
    <w:rsid w:val="000646BE"/>
    <w:rsid w:val="00066448"/>
    <w:rsid w:val="0006653A"/>
    <w:rsid w:val="000668F9"/>
    <w:rsid w:val="0006738F"/>
    <w:rsid w:val="00070140"/>
    <w:rsid w:val="0007118C"/>
    <w:rsid w:val="000711B6"/>
    <w:rsid w:val="0007139D"/>
    <w:rsid w:val="00073B4D"/>
    <w:rsid w:val="00073C9E"/>
    <w:rsid w:val="000743FA"/>
    <w:rsid w:val="00075EEA"/>
    <w:rsid w:val="00076066"/>
    <w:rsid w:val="00076582"/>
    <w:rsid w:val="000808D6"/>
    <w:rsid w:val="000813AF"/>
    <w:rsid w:val="0008174E"/>
    <w:rsid w:val="000828E3"/>
    <w:rsid w:val="00083B9C"/>
    <w:rsid w:val="000850AB"/>
    <w:rsid w:val="00086101"/>
    <w:rsid w:val="00086B42"/>
    <w:rsid w:val="00086C37"/>
    <w:rsid w:val="000872E2"/>
    <w:rsid w:val="00087402"/>
    <w:rsid w:val="00087DEC"/>
    <w:rsid w:val="00090030"/>
    <w:rsid w:val="000905D2"/>
    <w:rsid w:val="000911CA"/>
    <w:rsid w:val="00092C7A"/>
    <w:rsid w:val="0009329C"/>
    <w:rsid w:val="00093D71"/>
    <w:rsid w:val="00094632"/>
    <w:rsid w:val="0009509F"/>
    <w:rsid w:val="000955BA"/>
    <w:rsid w:val="0009594C"/>
    <w:rsid w:val="00096955"/>
    <w:rsid w:val="00097732"/>
    <w:rsid w:val="00097C12"/>
    <w:rsid w:val="000A028D"/>
    <w:rsid w:val="000A078F"/>
    <w:rsid w:val="000A0896"/>
    <w:rsid w:val="000A1DCE"/>
    <w:rsid w:val="000A2167"/>
    <w:rsid w:val="000A2836"/>
    <w:rsid w:val="000A2B25"/>
    <w:rsid w:val="000A401F"/>
    <w:rsid w:val="000A4294"/>
    <w:rsid w:val="000A523C"/>
    <w:rsid w:val="000A5513"/>
    <w:rsid w:val="000A561D"/>
    <w:rsid w:val="000A70AA"/>
    <w:rsid w:val="000A7333"/>
    <w:rsid w:val="000B02E9"/>
    <w:rsid w:val="000B0517"/>
    <w:rsid w:val="000B0648"/>
    <w:rsid w:val="000B0899"/>
    <w:rsid w:val="000B09C8"/>
    <w:rsid w:val="000B1172"/>
    <w:rsid w:val="000B179D"/>
    <w:rsid w:val="000B1842"/>
    <w:rsid w:val="000B1905"/>
    <w:rsid w:val="000B2070"/>
    <w:rsid w:val="000B4B06"/>
    <w:rsid w:val="000B4B4A"/>
    <w:rsid w:val="000B527F"/>
    <w:rsid w:val="000B68C6"/>
    <w:rsid w:val="000B7134"/>
    <w:rsid w:val="000B71E3"/>
    <w:rsid w:val="000C123A"/>
    <w:rsid w:val="000C17CA"/>
    <w:rsid w:val="000C1D7A"/>
    <w:rsid w:val="000C211C"/>
    <w:rsid w:val="000C2686"/>
    <w:rsid w:val="000C3562"/>
    <w:rsid w:val="000C4118"/>
    <w:rsid w:val="000C523B"/>
    <w:rsid w:val="000C57F1"/>
    <w:rsid w:val="000C5955"/>
    <w:rsid w:val="000C5B53"/>
    <w:rsid w:val="000C6FBC"/>
    <w:rsid w:val="000C7C92"/>
    <w:rsid w:val="000D0E17"/>
    <w:rsid w:val="000D18CB"/>
    <w:rsid w:val="000D20C8"/>
    <w:rsid w:val="000D2947"/>
    <w:rsid w:val="000D2B01"/>
    <w:rsid w:val="000D399C"/>
    <w:rsid w:val="000D3AA2"/>
    <w:rsid w:val="000D51B8"/>
    <w:rsid w:val="000D582B"/>
    <w:rsid w:val="000D5F9E"/>
    <w:rsid w:val="000D7087"/>
    <w:rsid w:val="000D72AE"/>
    <w:rsid w:val="000E05DE"/>
    <w:rsid w:val="000E1760"/>
    <w:rsid w:val="000E19DF"/>
    <w:rsid w:val="000E1B78"/>
    <w:rsid w:val="000E1D07"/>
    <w:rsid w:val="000E1E02"/>
    <w:rsid w:val="000E206D"/>
    <w:rsid w:val="000E2106"/>
    <w:rsid w:val="000E287F"/>
    <w:rsid w:val="000E299E"/>
    <w:rsid w:val="000E2C6F"/>
    <w:rsid w:val="000E2F90"/>
    <w:rsid w:val="000E3C9E"/>
    <w:rsid w:val="000E3E90"/>
    <w:rsid w:val="000E434B"/>
    <w:rsid w:val="000E461C"/>
    <w:rsid w:val="000E56B0"/>
    <w:rsid w:val="000E57A4"/>
    <w:rsid w:val="000E6E97"/>
    <w:rsid w:val="000F05F1"/>
    <w:rsid w:val="000F08CB"/>
    <w:rsid w:val="000F0FBF"/>
    <w:rsid w:val="000F1F3A"/>
    <w:rsid w:val="000F3DAD"/>
    <w:rsid w:val="000F5381"/>
    <w:rsid w:val="000F5F21"/>
    <w:rsid w:val="000F6623"/>
    <w:rsid w:val="000F66E7"/>
    <w:rsid w:val="00100CA6"/>
    <w:rsid w:val="00100EF8"/>
    <w:rsid w:val="001021BE"/>
    <w:rsid w:val="0010225D"/>
    <w:rsid w:val="00102B4A"/>
    <w:rsid w:val="00104799"/>
    <w:rsid w:val="00104EA5"/>
    <w:rsid w:val="001064E1"/>
    <w:rsid w:val="00106B18"/>
    <w:rsid w:val="001073E9"/>
    <w:rsid w:val="0010767D"/>
    <w:rsid w:val="00107A65"/>
    <w:rsid w:val="00107EC8"/>
    <w:rsid w:val="001111C1"/>
    <w:rsid w:val="001118FD"/>
    <w:rsid w:val="00112C81"/>
    <w:rsid w:val="00112EB5"/>
    <w:rsid w:val="00112F0A"/>
    <w:rsid w:val="0011310D"/>
    <w:rsid w:val="0011388F"/>
    <w:rsid w:val="00113B78"/>
    <w:rsid w:val="0011485B"/>
    <w:rsid w:val="00115CB4"/>
    <w:rsid w:val="001165C0"/>
    <w:rsid w:val="00116D77"/>
    <w:rsid w:val="0011785E"/>
    <w:rsid w:val="0012057C"/>
    <w:rsid w:val="00120B8C"/>
    <w:rsid w:val="00120C86"/>
    <w:rsid w:val="00122680"/>
    <w:rsid w:val="00123430"/>
    <w:rsid w:val="00124478"/>
    <w:rsid w:val="001256EF"/>
    <w:rsid w:val="001268BB"/>
    <w:rsid w:val="00126F1F"/>
    <w:rsid w:val="0012739D"/>
    <w:rsid w:val="00127532"/>
    <w:rsid w:val="001275EF"/>
    <w:rsid w:val="00127F98"/>
    <w:rsid w:val="00130BEB"/>
    <w:rsid w:val="00130DFC"/>
    <w:rsid w:val="001311BE"/>
    <w:rsid w:val="00131FDF"/>
    <w:rsid w:val="00132599"/>
    <w:rsid w:val="00132C67"/>
    <w:rsid w:val="00134A33"/>
    <w:rsid w:val="00135D0F"/>
    <w:rsid w:val="001362EE"/>
    <w:rsid w:val="0013735C"/>
    <w:rsid w:val="00140880"/>
    <w:rsid w:val="00141FAB"/>
    <w:rsid w:val="00142219"/>
    <w:rsid w:val="00142869"/>
    <w:rsid w:val="00142D1D"/>
    <w:rsid w:val="00143405"/>
    <w:rsid w:val="0014345F"/>
    <w:rsid w:val="001440DD"/>
    <w:rsid w:val="00144747"/>
    <w:rsid w:val="00146800"/>
    <w:rsid w:val="00146F72"/>
    <w:rsid w:val="00147B78"/>
    <w:rsid w:val="00150576"/>
    <w:rsid w:val="0015084D"/>
    <w:rsid w:val="00150919"/>
    <w:rsid w:val="00151741"/>
    <w:rsid w:val="001523FB"/>
    <w:rsid w:val="00152816"/>
    <w:rsid w:val="00155237"/>
    <w:rsid w:val="001559ED"/>
    <w:rsid w:val="00156F22"/>
    <w:rsid w:val="00157202"/>
    <w:rsid w:val="00160C11"/>
    <w:rsid w:val="00160ED3"/>
    <w:rsid w:val="00161AB2"/>
    <w:rsid w:val="0016353F"/>
    <w:rsid w:val="0016369D"/>
    <w:rsid w:val="001648F6"/>
    <w:rsid w:val="00164F3B"/>
    <w:rsid w:val="00165166"/>
    <w:rsid w:val="00165276"/>
    <w:rsid w:val="00165408"/>
    <w:rsid w:val="00165ACC"/>
    <w:rsid w:val="00166395"/>
    <w:rsid w:val="00166C34"/>
    <w:rsid w:val="001677A1"/>
    <w:rsid w:val="00167E89"/>
    <w:rsid w:val="00170392"/>
    <w:rsid w:val="00170416"/>
    <w:rsid w:val="0017083E"/>
    <w:rsid w:val="00170D33"/>
    <w:rsid w:val="00171532"/>
    <w:rsid w:val="00171944"/>
    <w:rsid w:val="00171B7F"/>
    <w:rsid w:val="00171EB4"/>
    <w:rsid w:val="00171FEB"/>
    <w:rsid w:val="00172FB7"/>
    <w:rsid w:val="0017345D"/>
    <w:rsid w:val="0017378E"/>
    <w:rsid w:val="00174D13"/>
    <w:rsid w:val="001750E3"/>
    <w:rsid w:val="0017585F"/>
    <w:rsid w:val="00176E5A"/>
    <w:rsid w:val="0017794E"/>
    <w:rsid w:val="00177C4F"/>
    <w:rsid w:val="00177D42"/>
    <w:rsid w:val="00180C84"/>
    <w:rsid w:val="00181240"/>
    <w:rsid w:val="00181B9A"/>
    <w:rsid w:val="0018215B"/>
    <w:rsid w:val="0018221D"/>
    <w:rsid w:val="001823E0"/>
    <w:rsid w:val="00183133"/>
    <w:rsid w:val="00183712"/>
    <w:rsid w:val="001859AD"/>
    <w:rsid w:val="00185A0A"/>
    <w:rsid w:val="001862E1"/>
    <w:rsid w:val="001903F2"/>
    <w:rsid w:val="00190459"/>
    <w:rsid w:val="001906A4"/>
    <w:rsid w:val="00190B31"/>
    <w:rsid w:val="00190EAF"/>
    <w:rsid w:val="0019152B"/>
    <w:rsid w:val="0019188E"/>
    <w:rsid w:val="00191B99"/>
    <w:rsid w:val="00191BD3"/>
    <w:rsid w:val="00192409"/>
    <w:rsid w:val="00193182"/>
    <w:rsid w:val="00193274"/>
    <w:rsid w:val="001935E3"/>
    <w:rsid w:val="001937D3"/>
    <w:rsid w:val="00194466"/>
    <w:rsid w:val="001945F8"/>
    <w:rsid w:val="00194A9B"/>
    <w:rsid w:val="00194C98"/>
    <w:rsid w:val="00194F99"/>
    <w:rsid w:val="00195B3D"/>
    <w:rsid w:val="00196199"/>
    <w:rsid w:val="001975E2"/>
    <w:rsid w:val="00197D8A"/>
    <w:rsid w:val="001A17B7"/>
    <w:rsid w:val="001A1A94"/>
    <w:rsid w:val="001A265B"/>
    <w:rsid w:val="001A2859"/>
    <w:rsid w:val="001A29D9"/>
    <w:rsid w:val="001A365E"/>
    <w:rsid w:val="001A5081"/>
    <w:rsid w:val="001A5F6F"/>
    <w:rsid w:val="001A69CC"/>
    <w:rsid w:val="001A6B6F"/>
    <w:rsid w:val="001A768A"/>
    <w:rsid w:val="001B0080"/>
    <w:rsid w:val="001B05AA"/>
    <w:rsid w:val="001B0E26"/>
    <w:rsid w:val="001B1657"/>
    <w:rsid w:val="001B1785"/>
    <w:rsid w:val="001B1975"/>
    <w:rsid w:val="001B1FD9"/>
    <w:rsid w:val="001B2523"/>
    <w:rsid w:val="001B2584"/>
    <w:rsid w:val="001B2F90"/>
    <w:rsid w:val="001B3632"/>
    <w:rsid w:val="001B5B09"/>
    <w:rsid w:val="001B716E"/>
    <w:rsid w:val="001B758D"/>
    <w:rsid w:val="001B7980"/>
    <w:rsid w:val="001B7FB3"/>
    <w:rsid w:val="001C1A3D"/>
    <w:rsid w:val="001C2B71"/>
    <w:rsid w:val="001C3714"/>
    <w:rsid w:val="001C37D4"/>
    <w:rsid w:val="001C3A51"/>
    <w:rsid w:val="001C46CB"/>
    <w:rsid w:val="001C4AD1"/>
    <w:rsid w:val="001C5921"/>
    <w:rsid w:val="001C5DB6"/>
    <w:rsid w:val="001C67BF"/>
    <w:rsid w:val="001C67E3"/>
    <w:rsid w:val="001C7025"/>
    <w:rsid w:val="001C7F44"/>
    <w:rsid w:val="001D0E01"/>
    <w:rsid w:val="001D0FAA"/>
    <w:rsid w:val="001D1CF1"/>
    <w:rsid w:val="001D1F1A"/>
    <w:rsid w:val="001D2FA4"/>
    <w:rsid w:val="001D4B70"/>
    <w:rsid w:val="001D512B"/>
    <w:rsid w:val="001D5CA0"/>
    <w:rsid w:val="001D6064"/>
    <w:rsid w:val="001D6FC7"/>
    <w:rsid w:val="001D7D5A"/>
    <w:rsid w:val="001D7E42"/>
    <w:rsid w:val="001D7EB8"/>
    <w:rsid w:val="001D7FFD"/>
    <w:rsid w:val="001E0150"/>
    <w:rsid w:val="001E0E4C"/>
    <w:rsid w:val="001E2E35"/>
    <w:rsid w:val="001E3261"/>
    <w:rsid w:val="001E5006"/>
    <w:rsid w:val="001E51EC"/>
    <w:rsid w:val="001E6613"/>
    <w:rsid w:val="001E662D"/>
    <w:rsid w:val="001E6945"/>
    <w:rsid w:val="001F02B1"/>
    <w:rsid w:val="001F052A"/>
    <w:rsid w:val="001F094C"/>
    <w:rsid w:val="001F0FCC"/>
    <w:rsid w:val="001F125D"/>
    <w:rsid w:val="001F1A3F"/>
    <w:rsid w:val="001F27C2"/>
    <w:rsid w:val="001F2F83"/>
    <w:rsid w:val="001F312F"/>
    <w:rsid w:val="001F36C0"/>
    <w:rsid w:val="001F426E"/>
    <w:rsid w:val="001F485E"/>
    <w:rsid w:val="001F5252"/>
    <w:rsid w:val="001F54C1"/>
    <w:rsid w:val="001F7158"/>
    <w:rsid w:val="001F7768"/>
    <w:rsid w:val="00200627"/>
    <w:rsid w:val="00200A57"/>
    <w:rsid w:val="00201791"/>
    <w:rsid w:val="00201CE0"/>
    <w:rsid w:val="00201D68"/>
    <w:rsid w:val="002021BB"/>
    <w:rsid w:val="0020371C"/>
    <w:rsid w:val="002043CA"/>
    <w:rsid w:val="00204619"/>
    <w:rsid w:val="00204983"/>
    <w:rsid w:val="002053B2"/>
    <w:rsid w:val="00205662"/>
    <w:rsid w:val="0020584F"/>
    <w:rsid w:val="002058EA"/>
    <w:rsid w:val="00205B6B"/>
    <w:rsid w:val="002067E9"/>
    <w:rsid w:val="00206C01"/>
    <w:rsid w:val="00210C41"/>
    <w:rsid w:val="0021115A"/>
    <w:rsid w:val="00211D24"/>
    <w:rsid w:val="00213A94"/>
    <w:rsid w:val="002150D9"/>
    <w:rsid w:val="0021565F"/>
    <w:rsid w:val="00215DA2"/>
    <w:rsid w:val="0021606E"/>
    <w:rsid w:val="00216262"/>
    <w:rsid w:val="002162AD"/>
    <w:rsid w:val="002165A3"/>
    <w:rsid w:val="0021766B"/>
    <w:rsid w:val="0021772B"/>
    <w:rsid w:val="00217E99"/>
    <w:rsid w:val="00220007"/>
    <w:rsid w:val="00221BAD"/>
    <w:rsid w:val="0022220A"/>
    <w:rsid w:val="002242F6"/>
    <w:rsid w:val="002247DF"/>
    <w:rsid w:val="002252A0"/>
    <w:rsid w:val="00225841"/>
    <w:rsid w:val="00225924"/>
    <w:rsid w:val="0022607B"/>
    <w:rsid w:val="00227D53"/>
    <w:rsid w:val="002304F2"/>
    <w:rsid w:val="00230530"/>
    <w:rsid w:val="00230F05"/>
    <w:rsid w:val="002320F8"/>
    <w:rsid w:val="0023242F"/>
    <w:rsid w:val="00233619"/>
    <w:rsid w:val="00235084"/>
    <w:rsid w:val="00235359"/>
    <w:rsid w:val="00235D54"/>
    <w:rsid w:val="0023618F"/>
    <w:rsid w:val="0023632C"/>
    <w:rsid w:val="00236965"/>
    <w:rsid w:val="00236DFA"/>
    <w:rsid w:val="00237265"/>
    <w:rsid w:val="0023737E"/>
    <w:rsid w:val="002400FC"/>
    <w:rsid w:val="002419AE"/>
    <w:rsid w:val="002425D9"/>
    <w:rsid w:val="00242988"/>
    <w:rsid w:val="002432DE"/>
    <w:rsid w:val="00243CA3"/>
    <w:rsid w:val="00244A73"/>
    <w:rsid w:val="00246DE8"/>
    <w:rsid w:val="00247CDD"/>
    <w:rsid w:val="00250229"/>
    <w:rsid w:val="00250996"/>
    <w:rsid w:val="002512E1"/>
    <w:rsid w:val="00252EF2"/>
    <w:rsid w:val="00253FBF"/>
    <w:rsid w:val="0025474A"/>
    <w:rsid w:val="00254827"/>
    <w:rsid w:val="00254985"/>
    <w:rsid w:val="00254AE1"/>
    <w:rsid w:val="00254BE7"/>
    <w:rsid w:val="002553FD"/>
    <w:rsid w:val="0025602B"/>
    <w:rsid w:val="00256F4D"/>
    <w:rsid w:val="00257013"/>
    <w:rsid w:val="00257FBD"/>
    <w:rsid w:val="00260568"/>
    <w:rsid w:val="00261612"/>
    <w:rsid w:val="00261638"/>
    <w:rsid w:val="00261B6E"/>
    <w:rsid w:val="00261D61"/>
    <w:rsid w:val="00263C8B"/>
    <w:rsid w:val="00264BA7"/>
    <w:rsid w:val="00265363"/>
    <w:rsid w:val="00265A82"/>
    <w:rsid w:val="002662F0"/>
    <w:rsid w:val="0026739D"/>
    <w:rsid w:val="0027049F"/>
    <w:rsid w:val="00270BA3"/>
    <w:rsid w:val="0027131F"/>
    <w:rsid w:val="0027161C"/>
    <w:rsid w:val="002720CB"/>
    <w:rsid w:val="00272696"/>
    <w:rsid w:val="002734A8"/>
    <w:rsid w:val="002734D4"/>
    <w:rsid w:val="002756CB"/>
    <w:rsid w:val="00275777"/>
    <w:rsid w:val="00275953"/>
    <w:rsid w:val="0027657E"/>
    <w:rsid w:val="002765F2"/>
    <w:rsid w:val="00277A66"/>
    <w:rsid w:val="00277F52"/>
    <w:rsid w:val="002800D7"/>
    <w:rsid w:val="002807D5"/>
    <w:rsid w:val="00280890"/>
    <w:rsid w:val="00280B1C"/>
    <w:rsid w:val="00280C98"/>
    <w:rsid w:val="00281061"/>
    <w:rsid w:val="0028123A"/>
    <w:rsid w:val="00281EC9"/>
    <w:rsid w:val="002822BB"/>
    <w:rsid w:val="00282758"/>
    <w:rsid w:val="0028307E"/>
    <w:rsid w:val="00283320"/>
    <w:rsid w:val="002837C1"/>
    <w:rsid w:val="00283EFD"/>
    <w:rsid w:val="0028441C"/>
    <w:rsid w:val="00285627"/>
    <w:rsid w:val="00285841"/>
    <w:rsid w:val="00286ED9"/>
    <w:rsid w:val="00286F5D"/>
    <w:rsid w:val="002879C3"/>
    <w:rsid w:val="00287E08"/>
    <w:rsid w:val="0029056C"/>
    <w:rsid w:val="00290976"/>
    <w:rsid w:val="00290C18"/>
    <w:rsid w:val="00290EC6"/>
    <w:rsid w:val="00290F75"/>
    <w:rsid w:val="00291EFC"/>
    <w:rsid w:val="0029201A"/>
    <w:rsid w:val="002923B2"/>
    <w:rsid w:val="0029405E"/>
    <w:rsid w:val="002948AF"/>
    <w:rsid w:val="002949A2"/>
    <w:rsid w:val="002952A7"/>
    <w:rsid w:val="00295CE1"/>
    <w:rsid w:val="00296224"/>
    <w:rsid w:val="00296FF4"/>
    <w:rsid w:val="002A044F"/>
    <w:rsid w:val="002A0CA7"/>
    <w:rsid w:val="002A1340"/>
    <w:rsid w:val="002A1B12"/>
    <w:rsid w:val="002A2BA1"/>
    <w:rsid w:val="002A2BC6"/>
    <w:rsid w:val="002A2D54"/>
    <w:rsid w:val="002A3485"/>
    <w:rsid w:val="002A35AC"/>
    <w:rsid w:val="002A3612"/>
    <w:rsid w:val="002A3E09"/>
    <w:rsid w:val="002A47C9"/>
    <w:rsid w:val="002A4804"/>
    <w:rsid w:val="002A5204"/>
    <w:rsid w:val="002A5F05"/>
    <w:rsid w:val="002A624E"/>
    <w:rsid w:val="002A6453"/>
    <w:rsid w:val="002A674C"/>
    <w:rsid w:val="002A6AF3"/>
    <w:rsid w:val="002A7BFF"/>
    <w:rsid w:val="002B1437"/>
    <w:rsid w:val="002B14EB"/>
    <w:rsid w:val="002B385F"/>
    <w:rsid w:val="002B482B"/>
    <w:rsid w:val="002B581E"/>
    <w:rsid w:val="002B59FF"/>
    <w:rsid w:val="002B6AA6"/>
    <w:rsid w:val="002B7666"/>
    <w:rsid w:val="002B7C85"/>
    <w:rsid w:val="002C042C"/>
    <w:rsid w:val="002C0608"/>
    <w:rsid w:val="002C1924"/>
    <w:rsid w:val="002C2017"/>
    <w:rsid w:val="002C234B"/>
    <w:rsid w:val="002C2780"/>
    <w:rsid w:val="002C440E"/>
    <w:rsid w:val="002C4DE7"/>
    <w:rsid w:val="002C4F00"/>
    <w:rsid w:val="002C5669"/>
    <w:rsid w:val="002C68D6"/>
    <w:rsid w:val="002C70C4"/>
    <w:rsid w:val="002C77A0"/>
    <w:rsid w:val="002D0801"/>
    <w:rsid w:val="002D081C"/>
    <w:rsid w:val="002D0FB2"/>
    <w:rsid w:val="002D2FD4"/>
    <w:rsid w:val="002D2FEB"/>
    <w:rsid w:val="002D312C"/>
    <w:rsid w:val="002D3238"/>
    <w:rsid w:val="002D4A91"/>
    <w:rsid w:val="002D50B9"/>
    <w:rsid w:val="002D5DC0"/>
    <w:rsid w:val="002D5E75"/>
    <w:rsid w:val="002D6844"/>
    <w:rsid w:val="002D6DC9"/>
    <w:rsid w:val="002D6E22"/>
    <w:rsid w:val="002D72BF"/>
    <w:rsid w:val="002D735B"/>
    <w:rsid w:val="002D7CB3"/>
    <w:rsid w:val="002E1184"/>
    <w:rsid w:val="002E30AB"/>
    <w:rsid w:val="002E3376"/>
    <w:rsid w:val="002E4113"/>
    <w:rsid w:val="002E4C6B"/>
    <w:rsid w:val="002E4D52"/>
    <w:rsid w:val="002E574A"/>
    <w:rsid w:val="002E597B"/>
    <w:rsid w:val="002E5A61"/>
    <w:rsid w:val="002F1431"/>
    <w:rsid w:val="002F15BE"/>
    <w:rsid w:val="002F206E"/>
    <w:rsid w:val="002F266A"/>
    <w:rsid w:val="002F2B90"/>
    <w:rsid w:val="002F382C"/>
    <w:rsid w:val="002F4571"/>
    <w:rsid w:val="002F45C8"/>
    <w:rsid w:val="002F4D62"/>
    <w:rsid w:val="002F5D28"/>
    <w:rsid w:val="002F6AB6"/>
    <w:rsid w:val="002F7685"/>
    <w:rsid w:val="002F783D"/>
    <w:rsid w:val="002F7D85"/>
    <w:rsid w:val="003029A6"/>
    <w:rsid w:val="00302A94"/>
    <w:rsid w:val="00302C9D"/>
    <w:rsid w:val="003031D3"/>
    <w:rsid w:val="00305669"/>
    <w:rsid w:val="00305675"/>
    <w:rsid w:val="00305FA8"/>
    <w:rsid w:val="00306A75"/>
    <w:rsid w:val="00306E94"/>
    <w:rsid w:val="003073F0"/>
    <w:rsid w:val="00307C12"/>
    <w:rsid w:val="00312107"/>
    <w:rsid w:val="00313B14"/>
    <w:rsid w:val="00313B68"/>
    <w:rsid w:val="00313E98"/>
    <w:rsid w:val="00314001"/>
    <w:rsid w:val="0031439F"/>
    <w:rsid w:val="00314A31"/>
    <w:rsid w:val="00314F46"/>
    <w:rsid w:val="00315FD4"/>
    <w:rsid w:val="003165E4"/>
    <w:rsid w:val="00316612"/>
    <w:rsid w:val="00316E0F"/>
    <w:rsid w:val="0031703E"/>
    <w:rsid w:val="0031722D"/>
    <w:rsid w:val="0032022E"/>
    <w:rsid w:val="00320A49"/>
    <w:rsid w:val="00320AB2"/>
    <w:rsid w:val="00320B1E"/>
    <w:rsid w:val="00320B60"/>
    <w:rsid w:val="00321027"/>
    <w:rsid w:val="00321BFC"/>
    <w:rsid w:val="00322E6E"/>
    <w:rsid w:val="00323F69"/>
    <w:rsid w:val="00324130"/>
    <w:rsid w:val="003247E9"/>
    <w:rsid w:val="003248F3"/>
    <w:rsid w:val="0032508B"/>
    <w:rsid w:val="003259ED"/>
    <w:rsid w:val="00325E2A"/>
    <w:rsid w:val="00325F4B"/>
    <w:rsid w:val="003261C9"/>
    <w:rsid w:val="00334771"/>
    <w:rsid w:val="003352D1"/>
    <w:rsid w:val="00335687"/>
    <w:rsid w:val="003367B5"/>
    <w:rsid w:val="00336F6A"/>
    <w:rsid w:val="00336FAD"/>
    <w:rsid w:val="00337B7D"/>
    <w:rsid w:val="00337C2A"/>
    <w:rsid w:val="00337F8E"/>
    <w:rsid w:val="00340652"/>
    <w:rsid w:val="003406A1"/>
    <w:rsid w:val="003406A6"/>
    <w:rsid w:val="00340E3A"/>
    <w:rsid w:val="00341583"/>
    <w:rsid w:val="00341603"/>
    <w:rsid w:val="00342730"/>
    <w:rsid w:val="00342F8B"/>
    <w:rsid w:val="003447D3"/>
    <w:rsid w:val="00344933"/>
    <w:rsid w:val="00345590"/>
    <w:rsid w:val="00345A4F"/>
    <w:rsid w:val="00346220"/>
    <w:rsid w:val="00346D66"/>
    <w:rsid w:val="00346DCD"/>
    <w:rsid w:val="0034720A"/>
    <w:rsid w:val="00347696"/>
    <w:rsid w:val="00350484"/>
    <w:rsid w:val="003504F8"/>
    <w:rsid w:val="00350B77"/>
    <w:rsid w:val="0035129D"/>
    <w:rsid w:val="00351544"/>
    <w:rsid w:val="00351B46"/>
    <w:rsid w:val="00353849"/>
    <w:rsid w:val="0035557A"/>
    <w:rsid w:val="0035620F"/>
    <w:rsid w:val="00356376"/>
    <w:rsid w:val="003569A4"/>
    <w:rsid w:val="0035706C"/>
    <w:rsid w:val="00361255"/>
    <w:rsid w:val="0036185D"/>
    <w:rsid w:val="00361A79"/>
    <w:rsid w:val="00362A6C"/>
    <w:rsid w:val="00362B12"/>
    <w:rsid w:val="00362FFC"/>
    <w:rsid w:val="0036316B"/>
    <w:rsid w:val="0036388E"/>
    <w:rsid w:val="00364B21"/>
    <w:rsid w:val="00364CD9"/>
    <w:rsid w:val="0036520C"/>
    <w:rsid w:val="00366F86"/>
    <w:rsid w:val="003672FD"/>
    <w:rsid w:val="00367777"/>
    <w:rsid w:val="00367DC9"/>
    <w:rsid w:val="003706C2"/>
    <w:rsid w:val="003709B0"/>
    <w:rsid w:val="00371BEE"/>
    <w:rsid w:val="00372103"/>
    <w:rsid w:val="00372DFD"/>
    <w:rsid w:val="003734F3"/>
    <w:rsid w:val="003735CC"/>
    <w:rsid w:val="0037384A"/>
    <w:rsid w:val="00374390"/>
    <w:rsid w:val="003743A0"/>
    <w:rsid w:val="0037452F"/>
    <w:rsid w:val="00374856"/>
    <w:rsid w:val="00375123"/>
    <w:rsid w:val="003759A5"/>
    <w:rsid w:val="00376EFD"/>
    <w:rsid w:val="00376F35"/>
    <w:rsid w:val="003777A6"/>
    <w:rsid w:val="00377CD3"/>
    <w:rsid w:val="0038176A"/>
    <w:rsid w:val="00382DA9"/>
    <w:rsid w:val="0038314C"/>
    <w:rsid w:val="00384847"/>
    <w:rsid w:val="00384874"/>
    <w:rsid w:val="00384A56"/>
    <w:rsid w:val="00385E2B"/>
    <w:rsid w:val="00386BAF"/>
    <w:rsid w:val="00387A38"/>
    <w:rsid w:val="00390734"/>
    <w:rsid w:val="00390892"/>
    <w:rsid w:val="00391417"/>
    <w:rsid w:val="0039214B"/>
    <w:rsid w:val="0039317F"/>
    <w:rsid w:val="00393211"/>
    <w:rsid w:val="003933FF"/>
    <w:rsid w:val="0039353F"/>
    <w:rsid w:val="003942B5"/>
    <w:rsid w:val="0039466B"/>
    <w:rsid w:val="003953B8"/>
    <w:rsid w:val="00395851"/>
    <w:rsid w:val="00395AEA"/>
    <w:rsid w:val="00395ED5"/>
    <w:rsid w:val="0039738E"/>
    <w:rsid w:val="003977FA"/>
    <w:rsid w:val="00397ECE"/>
    <w:rsid w:val="003A0294"/>
    <w:rsid w:val="003A08AB"/>
    <w:rsid w:val="003A0B3F"/>
    <w:rsid w:val="003A1665"/>
    <w:rsid w:val="003A1B9E"/>
    <w:rsid w:val="003A24B5"/>
    <w:rsid w:val="003A43D1"/>
    <w:rsid w:val="003A4CFB"/>
    <w:rsid w:val="003A500B"/>
    <w:rsid w:val="003A5A4F"/>
    <w:rsid w:val="003A5AB5"/>
    <w:rsid w:val="003A6559"/>
    <w:rsid w:val="003A688F"/>
    <w:rsid w:val="003A7327"/>
    <w:rsid w:val="003B1050"/>
    <w:rsid w:val="003B204C"/>
    <w:rsid w:val="003B307D"/>
    <w:rsid w:val="003B3216"/>
    <w:rsid w:val="003B3A0D"/>
    <w:rsid w:val="003B48DC"/>
    <w:rsid w:val="003B4EFC"/>
    <w:rsid w:val="003B59DF"/>
    <w:rsid w:val="003B6120"/>
    <w:rsid w:val="003B6EA3"/>
    <w:rsid w:val="003B7777"/>
    <w:rsid w:val="003C1339"/>
    <w:rsid w:val="003C1C32"/>
    <w:rsid w:val="003C2C46"/>
    <w:rsid w:val="003C2D25"/>
    <w:rsid w:val="003C35AD"/>
    <w:rsid w:val="003C3A0B"/>
    <w:rsid w:val="003C4900"/>
    <w:rsid w:val="003C567B"/>
    <w:rsid w:val="003C569F"/>
    <w:rsid w:val="003C58B2"/>
    <w:rsid w:val="003C64E2"/>
    <w:rsid w:val="003C6FCB"/>
    <w:rsid w:val="003C72BC"/>
    <w:rsid w:val="003C76DD"/>
    <w:rsid w:val="003C778B"/>
    <w:rsid w:val="003D095B"/>
    <w:rsid w:val="003D0CC8"/>
    <w:rsid w:val="003D0FB0"/>
    <w:rsid w:val="003D103C"/>
    <w:rsid w:val="003D1391"/>
    <w:rsid w:val="003D1E14"/>
    <w:rsid w:val="003D231D"/>
    <w:rsid w:val="003D2522"/>
    <w:rsid w:val="003D3163"/>
    <w:rsid w:val="003D568F"/>
    <w:rsid w:val="003D5CF8"/>
    <w:rsid w:val="003D6018"/>
    <w:rsid w:val="003D66EE"/>
    <w:rsid w:val="003D7077"/>
    <w:rsid w:val="003D7138"/>
    <w:rsid w:val="003D7BCD"/>
    <w:rsid w:val="003D7E93"/>
    <w:rsid w:val="003E0778"/>
    <w:rsid w:val="003E0AD5"/>
    <w:rsid w:val="003E0D4A"/>
    <w:rsid w:val="003E0D5B"/>
    <w:rsid w:val="003E140C"/>
    <w:rsid w:val="003E14A2"/>
    <w:rsid w:val="003E18D7"/>
    <w:rsid w:val="003E1FE2"/>
    <w:rsid w:val="003E28B0"/>
    <w:rsid w:val="003E2D87"/>
    <w:rsid w:val="003E3000"/>
    <w:rsid w:val="003E30BB"/>
    <w:rsid w:val="003E39D9"/>
    <w:rsid w:val="003E3CF3"/>
    <w:rsid w:val="003E3E54"/>
    <w:rsid w:val="003E4F20"/>
    <w:rsid w:val="003E5CFA"/>
    <w:rsid w:val="003E6353"/>
    <w:rsid w:val="003E660A"/>
    <w:rsid w:val="003E7582"/>
    <w:rsid w:val="003E7E4A"/>
    <w:rsid w:val="003F03AA"/>
    <w:rsid w:val="003F03AD"/>
    <w:rsid w:val="003F0696"/>
    <w:rsid w:val="003F0D3B"/>
    <w:rsid w:val="003F11DC"/>
    <w:rsid w:val="003F1639"/>
    <w:rsid w:val="003F1898"/>
    <w:rsid w:val="003F28AA"/>
    <w:rsid w:val="003F4299"/>
    <w:rsid w:val="003F442A"/>
    <w:rsid w:val="003F4595"/>
    <w:rsid w:val="003F51ED"/>
    <w:rsid w:val="003F620A"/>
    <w:rsid w:val="0040026E"/>
    <w:rsid w:val="00400DE6"/>
    <w:rsid w:val="00401009"/>
    <w:rsid w:val="00401630"/>
    <w:rsid w:val="0040245A"/>
    <w:rsid w:val="00403020"/>
    <w:rsid w:val="0040377C"/>
    <w:rsid w:val="00404F8C"/>
    <w:rsid w:val="00405290"/>
    <w:rsid w:val="004053FE"/>
    <w:rsid w:val="0040667B"/>
    <w:rsid w:val="00407096"/>
    <w:rsid w:val="004072E9"/>
    <w:rsid w:val="00407CE7"/>
    <w:rsid w:val="00407DC4"/>
    <w:rsid w:val="00407E1E"/>
    <w:rsid w:val="00410075"/>
    <w:rsid w:val="004107AC"/>
    <w:rsid w:val="00410801"/>
    <w:rsid w:val="00410EDE"/>
    <w:rsid w:val="00411506"/>
    <w:rsid w:val="00412FD0"/>
    <w:rsid w:val="004139B9"/>
    <w:rsid w:val="00414353"/>
    <w:rsid w:val="00414689"/>
    <w:rsid w:val="00415BCC"/>
    <w:rsid w:val="00416053"/>
    <w:rsid w:val="004160E1"/>
    <w:rsid w:val="004166E7"/>
    <w:rsid w:val="0041671F"/>
    <w:rsid w:val="00416C6F"/>
    <w:rsid w:val="004171C0"/>
    <w:rsid w:val="00421B83"/>
    <w:rsid w:val="00421D29"/>
    <w:rsid w:val="00421D79"/>
    <w:rsid w:val="00423FB2"/>
    <w:rsid w:val="00425314"/>
    <w:rsid w:val="004254A4"/>
    <w:rsid w:val="004256F0"/>
    <w:rsid w:val="00430EBA"/>
    <w:rsid w:val="004311DB"/>
    <w:rsid w:val="004315DC"/>
    <w:rsid w:val="004324B8"/>
    <w:rsid w:val="00432AC4"/>
    <w:rsid w:val="00433120"/>
    <w:rsid w:val="00434B8D"/>
    <w:rsid w:val="00434C8C"/>
    <w:rsid w:val="004367F8"/>
    <w:rsid w:val="00436B2B"/>
    <w:rsid w:val="004374AA"/>
    <w:rsid w:val="00437764"/>
    <w:rsid w:val="00440446"/>
    <w:rsid w:val="00440A5C"/>
    <w:rsid w:val="00440C0B"/>
    <w:rsid w:val="004416B9"/>
    <w:rsid w:val="00442101"/>
    <w:rsid w:val="00443506"/>
    <w:rsid w:val="00443F09"/>
    <w:rsid w:val="004442E7"/>
    <w:rsid w:val="00444DDA"/>
    <w:rsid w:val="0044556F"/>
    <w:rsid w:val="0044658C"/>
    <w:rsid w:val="004465BD"/>
    <w:rsid w:val="0044699A"/>
    <w:rsid w:val="004505F1"/>
    <w:rsid w:val="00450B93"/>
    <w:rsid w:val="00451FCE"/>
    <w:rsid w:val="004524B1"/>
    <w:rsid w:val="00453F19"/>
    <w:rsid w:val="00454814"/>
    <w:rsid w:val="0045482B"/>
    <w:rsid w:val="0045568D"/>
    <w:rsid w:val="00455780"/>
    <w:rsid w:val="00456427"/>
    <w:rsid w:val="00456B57"/>
    <w:rsid w:val="00456B93"/>
    <w:rsid w:val="00457C39"/>
    <w:rsid w:val="00460347"/>
    <w:rsid w:val="00460839"/>
    <w:rsid w:val="004609FA"/>
    <w:rsid w:val="004615B3"/>
    <w:rsid w:val="00461EEB"/>
    <w:rsid w:val="00463B43"/>
    <w:rsid w:val="004640F1"/>
    <w:rsid w:val="00464A23"/>
    <w:rsid w:val="00465028"/>
    <w:rsid w:val="004656A4"/>
    <w:rsid w:val="00465DD9"/>
    <w:rsid w:val="00466442"/>
    <w:rsid w:val="00466B75"/>
    <w:rsid w:val="00466FC9"/>
    <w:rsid w:val="00467532"/>
    <w:rsid w:val="004677AD"/>
    <w:rsid w:val="00467AA8"/>
    <w:rsid w:val="00467E83"/>
    <w:rsid w:val="004700A9"/>
    <w:rsid w:val="00470C45"/>
    <w:rsid w:val="00470DC4"/>
    <w:rsid w:val="0047114B"/>
    <w:rsid w:val="00472248"/>
    <w:rsid w:val="0047243E"/>
    <w:rsid w:val="00474952"/>
    <w:rsid w:val="00474D5B"/>
    <w:rsid w:val="00476A60"/>
    <w:rsid w:val="00476C78"/>
    <w:rsid w:val="00477B36"/>
    <w:rsid w:val="004802D1"/>
    <w:rsid w:val="004804EA"/>
    <w:rsid w:val="00480C67"/>
    <w:rsid w:val="00481195"/>
    <w:rsid w:val="0048217E"/>
    <w:rsid w:val="0048233E"/>
    <w:rsid w:val="004823CB"/>
    <w:rsid w:val="004823D9"/>
    <w:rsid w:val="00482A17"/>
    <w:rsid w:val="00482ABE"/>
    <w:rsid w:val="004833A0"/>
    <w:rsid w:val="00483437"/>
    <w:rsid w:val="00483D4E"/>
    <w:rsid w:val="004845EC"/>
    <w:rsid w:val="004846A7"/>
    <w:rsid w:val="004846C9"/>
    <w:rsid w:val="004852FB"/>
    <w:rsid w:val="0048539D"/>
    <w:rsid w:val="00485546"/>
    <w:rsid w:val="004856C9"/>
    <w:rsid w:val="00485A11"/>
    <w:rsid w:val="0048602B"/>
    <w:rsid w:val="0048642B"/>
    <w:rsid w:val="00486BCB"/>
    <w:rsid w:val="00490616"/>
    <w:rsid w:val="004917A4"/>
    <w:rsid w:val="004932FD"/>
    <w:rsid w:val="00493321"/>
    <w:rsid w:val="00493CBC"/>
    <w:rsid w:val="00493E4B"/>
    <w:rsid w:val="00495932"/>
    <w:rsid w:val="004968DA"/>
    <w:rsid w:val="00497B4C"/>
    <w:rsid w:val="004A04B3"/>
    <w:rsid w:val="004A1196"/>
    <w:rsid w:val="004A1747"/>
    <w:rsid w:val="004A1C96"/>
    <w:rsid w:val="004A1DCB"/>
    <w:rsid w:val="004A236F"/>
    <w:rsid w:val="004A3396"/>
    <w:rsid w:val="004A37CA"/>
    <w:rsid w:val="004A3E2F"/>
    <w:rsid w:val="004A4752"/>
    <w:rsid w:val="004A48F4"/>
    <w:rsid w:val="004A49EF"/>
    <w:rsid w:val="004A4E02"/>
    <w:rsid w:val="004A4FBB"/>
    <w:rsid w:val="004A65EA"/>
    <w:rsid w:val="004A6C89"/>
    <w:rsid w:val="004A72D9"/>
    <w:rsid w:val="004A7885"/>
    <w:rsid w:val="004B005D"/>
    <w:rsid w:val="004B008B"/>
    <w:rsid w:val="004B1696"/>
    <w:rsid w:val="004B24D2"/>
    <w:rsid w:val="004B3075"/>
    <w:rsid w:val="004B407B"/>
    <w:rsid w:val="004B4EE2"/>
    <w:rsid w:val="004B6331"/>
    <w:rsid w:val="004B6B5D"/>
    <w:rsid w:val="004B75A6"/>
    <w:rsid w:val="004B77E8"/>
    <w:rsid w:val="004B7BF5"/>
    <w:rsid w:val="004C011C"/>
    <w:rsid w:val="004C1228"/>
    <w:rsid w:val="004C199F"/>
    <w:rsid w:val="004C1AF7"/>
    <w:rsid w:val="004C1C4D"/>
    <w:rsid w:val="004C213D"/>
    <w:rsid w:val="004C272F"/>
    <w:rsid w:val="004C46BC"/>
    <w:rsid w:val="004C4B52"/>
    <w:rsid w:val="004C6618"/>
    <w:rsid w:val="004C6794"/>
    <w:rsid w:val="004C798F"/>
    <w:rsid w:val="004C7E0F"/>
    <w:rsid w:val="004D0249"/>
    <w:rsid w:val="004D058D"/>
    <w:rsid w:val="004D05EC"/>
    <w:rsid w:val="004D0E1A"/>
    <w:rsid w:val="004D153F"/>
    <w:rsid w:val="004D1E86"/>
    <w:rsid w:val="004D204F"/>
    <w:rsid w:val="004D2CB6"/>
    <w:rsid w:val="004D2F86"/>
    <w:rsid w:val="004D4221"/>
    <w:rsid w:val="004D4C3A"/>
    <w:rsid w:val="004D4C54"/>
    <w:rsid w:val="004D4EEF"/>
    <w:rsid w:val="004D57A0"/>
    <w:rsid w:val="004D6551"/>
    <w:rsid w:val="004D681B"/>
    <w:rsid w:val="004D731B"/>
    <w:rsid w:val="004E088B"/>
    <w:rsid w:val="004E090F"/>
    <w:rsid w:val="004E0ACC"/>
    <w:rsid w:val="004E0E7F"/>
    <w:rsid w:val="004E1163"/>
    <w:rsid w:val="004E1586"/>
    <w:rsid w:val="004E19D0"/>
    <w:rsid w:val="004E1A1D"/>
    <w:rsid w:val="004E3080"/>
    <w:rsid w:val="004E3C82"/>
    <w:rsid w:val="004E3D39"/>
    <w:rsid w:val="004E7434"/>
    <w:rsid w:val="004E7CDD"/>
    <w:rsid w:val="004E7DB4"/>
    <w:rsid w:val="004F1176"/>
    <w:rsid w:val="004F126E"/>
    <w:rsid w:val="004F1953"/>
    <w:rsid w:val="004F1EFD"/>
    <w:rsid w:val="004F1FAD"/>
    <w:rsid w:val="004F267A"/>
    <w:rsid w:val="004F342A"/>
    <w:rsid w:val="004F381E"/>
    <w:rsid w:val="004F400A"/>
    <w:rsid w:val="004F475F"/>
    <w:rsid w:val="004F5639"/>
    <w:rsid w:val="004F5953"/>
    <w:rsid w:val="004F59CA"/>
    <w:rsid w:val="004F5B6A"/>
    <w:rsid w:val="004F6784"/>
    <w:rsid w:val="004F6EA7"/>
    <w:rsid w:val="004F75BF"/>
    <w:rsid w:val="00501298"/>
    <w:rsid w:val="00501315"/>
    <w:rsid w:val="00501783"/>
    <w:rsid w:val="0050198B"/>
    <w:rsid w:val="00501F81"/>
    <w:rsid w:val="0050204E"/>
    <w:rsid w:val="005022AD"/>
    <w:rsid w:val="005025D0"/>
    <w:rsid w:val="0050288B"/>
    <w:rsid w:val="00503CBD"/>
    <w:rsid w:val="005042AD"/>
    <w:rsid w:val="00504B2B"/>
    <w:rsid w:val="00505ED5"/>
    <w:rsid w:val="0050667F"/>
    <w:rsid w:val="00506BC9"/>
    <w:rsid w:val="005074AD"/>
    <w:rsid w:val="0051100B"/>
    <w:rsid w:val="005112F7"/>
    <w:rsid w:val="00511D5F"/>
    <w:rsid w:val="00512D8D"/>
    <w:rsid w:val="005131B1"/>
    <w:rsid w:val="00514FD1"/>
    <w:rsid w:val="00515899"/>
    <w:rsid w:val="00515A3D"/>
    <w:rsid w:val="00515CF4"/>
    <w:rsid w:val="00515DE4"/>
    <w:rsid w:val="005164B4"/>
    <w:rsid w:val="005173A4"/>
    <w:rsid w:val="005173B5"/>
    <w:rsid w:val="005176D4"/>
    <w:rsid w:val="00520979"/>
    <w:rsid w:val="005215BC"/>
    <w:rsid w:val="005227E5"/>
    <w:rsid w:val="00522996"/>
    <w:rsid w:val="005233A7"/>
    <w:rsid w:val="00523B93"/>
    <w:rsid w:val="005249B7"/>
    <w:rsid w:val="00524DE0"/>
    <w:rsid w:val="00524E60"/>
    <w:rsid w:val="00525D3A"/>
    <w:rsid w:val="005265F3"/>
    <w:rsid w:val="0052763B"/>
    <w:rsid w:val="00527E3A"/>
    <w:rsid w:val="00527F47"/>
    <w:rsid w:val="0053080C"/>
    <w:rsid w:val="00530875"/>
    <w:rsid w:val="00532300"/>
    <w:rsid w:val="0053390D"/>
    <w:rsid w:val="0053392E"/>
    <w:rsid w:val="00533B56"/>
    <w:rsid w:val="0053409D"/>
    <w:rsid w:val="005344A1"/>
    <w:rsid w:val="00534BC9"/>
    <w:rsid w:val="00534D07"/>
    <w:rsid w:val="00535E92"/>
    <w:rsid w:val="00536CDC"/>
    <w:rsid w:val="00536DEB"/>
    <w:rsid w:val="00536F64"/>
    <w:rsid w:val="005370E2"/>
    <w:rsid w:val="0054009B"/>
    <w:rsid w:val="005404BB"/>
    <w:rsid w:val="005406D5"/>
    <w:rsid w:val="00540F55"/>
    <w:rsid w:val="00541085"/>
    <w:rsid w:val="0054419F"/>
    <w:rsid w:val="00544D69"/>
    <w:rsid w:val="00545080"/>
    <w:rsid w:val="00545A6A"/>
    <w:rsid w:val="00545E86"/>
    <w:rsid w:val="00545EA8"/>
    <w:rsid w:val="00546A54"/>
    <w:rsid w:val="00547AA9"/>
    <w:rsid w:val="00547BD6"/>
    <w:rsid w:val="00550240"/>
    <w:rsid w:val="00551130"/>
    <w:rsid w:val="0055159E"/>
    <w:rsid w:val="0055308F"/>
    <w:rsid w:val="005553CD"/>
    <w:rsid w:val="00555D1B"/>
    <w:rsid w:val="00556393"/>
    <w:rsid w:val="00556D02"/>
    <w:rsid w:val="0055762A"/>
    <w:rsid w:val="0056021B"/>
    <w:rsid w:val="00560967"/>
    <w:rsid w:val="00560B50"/>
    <w:rsid w:val="00560F57"/>
    <w:rsid w:val="0056160F"/>
    <w:rsid w:val="0056233D"/>
    <w:rsid w:val="00562640"/>
    <w:rsid w:val="005633F7"/>
    <w:rsid w:val="005639E8"/>
    <w:rsid w:val="00563AD1"/>
    <w:rsid w:val="005641A1"/>
    <w:rsid w:val="0056489F"/>
    <w:rsid w:val="005649E6"/>
    <w:rsid w:val="00566608"/>
    <w:rsid w:val="00567805"/>
    <w:rsid w:val="005700DF"/>
    <w:rsid w:val="00570115"/>
    <w:rsid w:val="00571ED5"/>
    <w:rsid w:val="00571EE4"/>
    <w:rsid w:val="00571FE9"/>
    <w:rsid w:val="00572923"/>
    <w:rsid w:val="00573341"/>
    <w:rsid w:val="005736CA"/>
    <w:rsid w:val="00573CDA"/>
    <w:rsid w:val="00575063"/>
    <w:rsid w:val="00575933"/>
    <w:rsid w:val="00576A4C"/>
    <w:rsid w:val="00580478"/>
    <w:rsid w:val="005807BC"/>
    <w:rsid w:val="005812D3"/>
    <w:rsid w:val="005812F1"/>
    <w:rsid w:val="00581BA0"/>
    <w:rsid w:val="00581C3A"/>
    <w:rsid w:val="00582A4E"/>
    <w:rsid w:val="005833C9"/>
    <w:rsid w:val="00583538"/>
    <w:rsid w:val="00583977"/>
    <w:rsid w:val="00583A80"/>
    <w:rsid w:val="00584276"/>
    <w:rsid w:val="005846CA"/>
    <w:rsid w:val="00584DA7"/>
    <w:rsid w:val="005850DB"/>
    <w:rsid w:val="005856FD"/>
    <w:rsid w:val="00585E5B"/>
    <w:rsid w:val="005861B0"/>
    <w:rsid w:val="0058628A"/>
    <w:rsid w:val="00590006"/>
    <w:rsid w:val="005902F4"/>
    <w:rsid w:val="005908BA"/>
    <w:rsid w:val="005909B6"/>
    <w:rsid w:val="00590F5E"/>
    <w:rsid w:val="00591106"/>
    <w:rsid w:val="005912A0"/>
    <w:rsid w:val="00591531"/>
    <w:rsid w:val="00591BC8"/>
    <w:rsid w:val="005921AD"/>
    <w:rsid w:val="00592FCB"/>
    <w:rsid w:val="00592FE5"/>
    <w:rsid w:val="00593114"/>
    <w:rsid w:val="005937C4"/>
    <w:rsid w:val="00594624"/>
    <w:rsid w:val="005957A4"/>
    <w:rsid w:val="00596D6A"/>
    <w:rsid w:val="005A0F93"/>
    <w:rsid w:val="005A1246"/>
    <w:rsid w:val="005A12C6"/>
    <w:rsid w:val="005A1A8D"/>
    <w:rsid w:val="005A33D9"/>
    <w:rsid w:val="005A3CF8"/>
    <w:rsid w:val="005A46B5"/>
    <w:rsid w:val="005A513E"/>
    <w:rsid w:val="005A5A0B"/>
    <w:rsid w:val="005B0196"/>
    <w:rsid w:val="005B0207"/>
    <w:rsid w:val="005B05F1"/>
    <w:rsid w:val="005B0637"/>
    <w:rsid w:val="005B096C"/>
    <w:rsid w:val="005B0B39"/>
    <w:rsid w:val="005B1E21"/>
    <w:rsid w:val="005B201F"/>
    <w:rsid w:val="005B22D0"/>
    <w:rsid w:val="005B3A0B"/>
    <w:rsid w:val="005B3ABE"/>
    <w:rsid w:val="005B46F4"/>
    <w:rsid w:val="005B5641"/>
    <w:rsid w:val="005B56AB"/>
    <w:rsid w:val="005B67B6"/>
    <w:rsid w:val="005B7E6D"/>
    <w:rsid w:val="005C0615"/>
    <w:rsid w:val="005C0DF5"/>
    <w:rsid w:val="005C1037"/>
    <w:rsid w:val="005C17D4"/>
    <w:rsid w:val="005C20E0"/>
    <w:rsid w:val="005C2596"/>
    <w:rsid w:val="005C38F8"/>
    <w:rsid w:val="005C3BA4"/>
    <w:rsid w:val="005C4959"/>
    <w:rsid w:val="005C4980"/>
    <w:rsid w:val="005C4AD4"/>
    <w:rsid w:val="005C4B9C"/>
    <w:rsid w:val="005C77C8"/>
    <w:rsid w:val="005D0921"/>
    <w:rsid w:val="005D10EF"/>
    <w:rsid w:val="005D4F4F"/>
    <w:rsid w:val="005D53BC"/>
    <w:rsid w:val="005D5947"/>
    <w:rsid w:val="005D7733"/>
    <w:rsid w:val="005E2700"/>
    <w:rsid w:val="005E3DB8"/>
    <w:rsid w:val="005E46B7"/>
    <w:rsid w:val="005E4D69"/>
    <w:rsid w:val="005E5990"/>
    <w:rsid w:val="005E5A3B"/>
    <w:rsid w:val="005E6D97"/>
    <w:rsid w:val="005E727F"/>
    <w:rsid w:val="005E7919"/>
    <w:rsid w:val="005F01A7"/>
    <w:rsid w:val="005F0658"/>
    <w:rsid w:val="005F0DA0"/>
    <w:rsid w:val="005F0DDB"/>
    <w:rsid w:val="005F0E65"/>
    <w:rsid w:val="005F171A"/>
    <w:rsid w:val="005F1B45"/>
    <w:rsid w:val="005F1C86"/>
    <w:rsid w:val="005F2201"/>
    <w:rsid w:val="005F2967"/>
    <w:rsid w:val="005F3429"/>
    <w:rsid w:val="005F3DFE"/>
    <w:rsid w:val="005F5AD5"/>
    <w:rsid w:val="005F5CA8"/>
    <w:rsid w:val="005F5DD4"/>
    <w:rsid w:val="005F606F"/>
    <w:rsid w:val="005F64BF"/>
    <w:rsid w:val="005F70A9"/>
    <w:rsid w:val="005F76E6"/>
    <w:rsid w:val="006019CF"/>
    <w:rsid w:val="006042F9"/>
    <w:rsid w:val="00604A9F"/>
    <w:rsid w:val="006051BB"/>
    <w:rsid w:val="006060C2"/>
    <w:rsid w:val="006070E2"/>
    <w:rsid w:val="0060779A"/>
    <w:rsid w:val="006106BF"/>
    <w:rsid w:val="00611785"/>
    <w:rsid w:val="006119D5"/>
    <w:rsid w:val="00611E3F"/>
    <w:rsid w:val="00611E98"/>
    <w:rsid w:val="00611FE7"/>
    <w:rsid w:val="00612584"/>
    <w:rsid w:val="00612653"/>
    <w:rsid w:val="006137CA"/>
    <w:rsid w:val="00613CC5"/>
    <w:rsid w:val="00614BAC"/>
    <w:rsid w:val="00615AC7"/>
    <w:rsid w:val="00616828"/>
    <w:rsid w:val="00617D2A"/>
    <w:rsid w:val="0062037F"/>
    <w:rsid w:val="006208EC"/>
    <w:rsid w:val="00621056"/>
    <w:rsid w:val="00622C4B"/>
    <w:rsid w:val="00623292"/>
    <w:rsid w:val="006234B8"/>
    <w:rsid w:val="00625983"/>
    <w:rsid w:val="006263A9"/>
    <w:rsid w:val="00626637"/>
    <w:rsid w:val="00630167"/>
    <w:rsid w:val="0063027D"/>
    <w:rsid w:val="00630391"/>
    <w:rsid w:val="0063097A"/>
    <w:rsid w:val="006316C4"/>
    <w:rsid w:val="00631AEE"/>
    <w:rsid w:val="00631F72"/>
    <w:rsid w:val="00632C14"/>
    <w:rsid w:val="00632C4A"/>
    <w:rsid w:val="00633E5F"/>
    <w:rsid w:val="00634213"/>
    <w:rsid w:val="00634554"/>
    <w:rsid w:val="00634E24"/>
    <w:rsid w:val="00636F86"/>
    <w:rsid w:val="0063795A"/>
    <w:rsid w:val="00641A61"/>
    <w:rsid w:val="00642B47"/>
    <w:rsid w:val="0064303C"/>
    <w:rsid w:val="00645090"/>
    <w:rsid w:val="006456F3"/>
    <w:rsid w:val="00646105"/>
    <w:rsid w:val="0064625C"/>
    <w:rsid w:val="00646C61"/>
    <w:rsid w:val="006478C7"/>
    <w:rsid w:val="00647E1D"/>
    <w:rsid w:val="00647F7B"/>
    <w:rsid w:val="00647FC2"/>
    <w:rsid w:val="00650BDB"/>
    <w:rsid w:val="00651850"/>
    <w:rsid w:val="006528FB"/>
    <w:rsid w:val="00652AF2"/>
    <w:rsid w:val="00652E34"/>
    <w:rsid w:val="006530B4"/>
    <w:rsid w:val="00655D03"/>
    <w:rsid w:val="006560F3"/>
    <w:rsid w:val="006561FD"/>
    <w:rsid w:val="0065667B"/>
    <w:rsid w:val="006568C9"/>
    <w:rsid w:val="0066079E"/>
    <w:rsid w:val="0066123D"/>
    <w:rsid w:val="00661788"/>
    <w:rsid w:val="00661D59"/>
    <w:rsid w:val="00662D5C"/>
    <w:rsid w:val="006637D0"/>
    <w:rsid w:val="00663D87"/>
    <w:rsid w:val="0066481D"/>
    <w:rsid w:val="006662A5"/>
    <w:rsid w:val="00666716"/>
    <w:rsid w:val="0067197B"/>
    <w:rsid w:val="00672669"/>
    <w:rsid w:val="006728CC"/>
    <w:rsid w:val="00672E5B"/>
    <w:rsid w:val="006731F6"/>
    <w:rsid w:val="0067345D"/>
    <w:rsid w:val="006734D2"/>
    <w:rsid w:val="00674EB4"/>
    <w:rsid w:val="00675504"/>
    <w:rsid w:val="0067591F"/>
    <w:rsid w:val="00675D19"/>
    <w:rsid w:val="006761D5"/>
    <w:rsid w:val="00676A61"/>
    <w:rsid w:val="00676ED4"/>
    <w:rsid w:val="0067712B"/>
    <w:rsid w:val="00677BFC"/>
    <w:rsid w:val="006802D0"/>
    <w:rsid w:val="0068162D"/>
    <w:rsid w:val="00682E7D"/>
    <w:rsid w:val="00682FF8"/>
    <w:rsid w:val="006830A9"/>
    <w:rsid w:val="00683465"/>
    <w:rsid w:val="00683B38"/>
    <w:rsid w:val="00683C61"/>
    <w:rsid w:val="006842E1"/>
    <w:rsid w:val="0068477B"/>
    <w:rsid w:val="0068485C"/>
    <w:rsid w:val="006849D1"/>
    <w:rsid w:val="00684B2E"/>
    <w:rsid w:val="00684C35"/>
    <w:rsid w:val="00685125"/>
    <w:rsid w:val="00687B48"/>
    <w:rsid w:val="00692045"/>
    <w:rsid w:val="006931E8"/>
    <w:rsid w:val="00693282"/>
    <w:rsid w:val="00693818"/>
    <w:rsid w:val="006968E1"/>
    <w:rsid w:val="00697BA2"/>
    <w:rsid w:val="006A00EB"/>
    <w:rsid w:val="006A06C4"/>
    <w:rsid w:val="006A2645"/>
    <w:rsid w:val="006A2A87"/>
    <w:rsid w:val="006A3F83"/>
    <w:rsid w:val="006A424F"/>
    <w:rsid w:val="006A53AD"/>
    <w:rsid w:val="006A6AA9"/>
    <w:rsid w:val="006A7334"/>
    <w:rsid w:val="006A7408"/>
    <w:rsid w:val="006A7B70"/>
    <w:rsid w:val="006B03E5"/>
    <w:rsid w:val="006B0A8D"/>
    <w:rsid w:val="006B1E42"/>
    <w:rsid w:val="006B2296"/>
    <w:rsid w:val="006B2362"/>
    <w:rsid w:val="006B30AD"/>
    <w:rsid w:val="006B315B"/>
    <w:rsid w:val="006B319E"/>
    <w:rsid w:val="006B33C6"/>
    <w:rsid w:val="006B37B8"/>
    <w:rsid w:val="006B3A1A"/>
    <w:rsid w:val="006B465D"/>
    <w:rsid w:val="006B4771"/>
    <w:rsid w:val="006B4CEE"/>
    <w:rsid w:val="006B53D0"/>
    <w:rsid w:val="006B5650"/>
    <w:rsid w:val="006B59C6"/>
    <w:rsid w:val="006B5BA4"/>
    <w:rsid w:val="006B61E4"/>
    <w:rsid w:val="006B7181"/>
    <w:rsid w:val="006C0168"/>
    <w:rsid w:val="006C030D"/>
    <w:rsid w:val="006C12A0"/>
    <w:rsid w:val="006C1918"/>
    <w:rsid w:val="006C1E81"/>
    <w:rsid w:val="006C2393"/>
    <w:rsid w:val="006C2D61"/>
    <w:rsid w:val="006C329F"/>
    <w:rsid w:val="006C336C"/>
    <w:rsid w:val="006C33B8"/>
    <w:rsid w:val="006C3CCB"/>
    <w:rsid w:val="006C3D0A"/>
    <w:rsid w:val="006C3EC6"/>
    <w:rsid w:val="006C3F4C"/>
    <w:rsid w:val="006C5386"/>
    <w:rsid w:val="006C5A34"/>
    <w:rsid w:val="006C69E3"/>
    <w:rsid w:val="006C6D35"/>
    <w:rsid w:val="006C78A7"/>
    <w:rsid w:val="006C7BBC"/>
    <w:rsid w:val="006D034B"/>
    <w:rsid w:val="006D0454"/>
    <w:rsid w:val="006D0499"/>
    <w:rsid w:val="006D1E01"/>
    <w:rsid w:val="006D1F77"/>
    <w:rsid w:val="006D2B8B"/>
    <w:rsid w:val="006D2BB0"/>
    <w:rsid w:val="006D30F2"/>
    <w:rsid w:val="006D42DB"/>
    <w:rsid w:val="006D4544"/>
    <w:rsid w:val="006D4564"/>
    <w:rsid w:val="006D47AC"/>
    <w:rsid w:val="006D5156"/>
    <w:rsid w:val="006D537B"/>
    <w:rsid w:val="006D5472"/>
    <w:rsid w:val="006D559C"/>
    <w:rsid w:val="006D67EE"/>
    <w:rsid w:val="006D70C7"/>
    <w:rsid w:val="006D72DE"/>
    <w:rsid w:val="006D73CE"/>
    <w:rsid w:val="006D756D"/>
    <w:rsid w:val="006D76DC"/>
    <w:rsid w:val="006D7E58"/>
    <w:rsid w:val="006E061D"/>
    <w:rsid w:val="006E0634"/>
    <w:rsid w:val="006E0644"/>
    <w:rsid w:val="006E07F5"/>
    <w:rsid w:val="006E0914"/>
    <w:rsid w:val="006E1026"/>
    <w:rsid w:val="006E305B"/>
    <w:rsid w:val="006E34DB"/>
    <w:rsid w:val="006E3510"/>
    <w:rsid w:val="006E36B3"/>
    <w:rsid w:val="006E3A6B"/>
    <w:rsid w:val="006E437F"/>
    <w:rsid w:val="006E4F74"/>
    <w:rsid w:val="006E5494"/>
    <w:rsid w:val="006E5722"/>
    <w:rsid w:val="006E5838"/>
    <w:rsid w:val="006E5937"/>
    <w:rsid w:val="006E5D56"/>
    <w:rsid w:val="006E6A41"/>
    <w:rsid w:val="006E7B45"/>
    <w:rsid w:val="006F1891"/>
    <w:rsid w:val="006F1BFD"/>
    <w:rsid w:val="006F2341"/>
    <w:rsid w:val="006F237D"/>
    <w:rsid w:val="006F387E"/>
    <w:rsid w:val="006F3CB6"/>
    <w:rsid w:val="006F3FF5"/>
    <w:rsid w:val="006F436C"/>
    <w:rsid w:val="006F4CAA"/>
    <w:rsid w:val="006F4F06"/>
    <w:rsid w:val="006F530A"/>
    <w:rsid w:val="006F5614"/>
    <w:rsid w:val="006F6854"/>
    <w:rsid w:val="006F6C34"/>
    <w:rsid w:val="006F6F70"/>
    <w:rsid w:val="006F71C1"/>
    <w:rsid w:val="006F7788"/>
    <w:rsid w:val="006F7834"/>
    <w:rsid w:val="007014A1"/>
    <w:rsid w:val="00701533"/>
    <w:rsid w:val="0070304C"/>
    <w:rsid w:val="0070382B"/>
    <w:rsid w:val="00704519"/>
    <w:rsid w:val="00705849"/>
    <w:rsid w:val="00705896"/>
    <w:rsid w:val="00705959"/>
    <w:rsid w:val="00705CC0"/>
    <w:rsid w:val="00705F63"/>
    <w:rsid w:val="00706C48"/>
    <w:rsid w:val="0071025A"/>
    <w:rsid w:val="00710FB6"/>
    <w:rsid w:val="0071122D"/>
    <w:rsid w:val="007118F0"/>
    <w:rsid w:val="00712AEC"/>
    <w:rsid w:val="00712FD5"/>
    <w:rsid w:val="0071351F"/>
    <w:rsid w:val="00713AA8"/>
    <w:rsid w:val="00713C83"/>
    <w:rsid w:val="0071467B"/>
    <w:rsid w:val="00715271"/>
    <w:rsid w:val="0071646D"/>
    <w:rsid w:val="007166BA"/>
    <w:rsid w:val="007201D1"/>
    <w:rsid w:val="00720768"/>
    <w:rsid w:val="00721963"/>
    <w:rsid w:val="00723F35"/>
    <w:rsid w:val="007242C5"/>
    <w:rsid w:val="00725255"/>
    <w:rsid w:val="00725862"/>
    <w:rsid w:val="00725D76"/>
    <w:rsid w:val="00725F91"/>
    <w:rsid w:val="0073001F"/>
    <w:rsid w:val="007308DA"/>
    <w:rsid w:val="00730A96"/>
    <w:rsid w:val="00731454"/>
    <w:rsid w:val="00732966"/>
    <w:rsid w:val="00732A0A"/>
    <w:rsid w:val="00732C57"/>
    <w:rsid w:val="00732F68"/>
    <w:rsid w:val="007337D7"/>
    <w:rsid w:val="00734991"/>
    <w:rsid w:val="007356EB"/>
    <w:rsid w:val="00735DFF"/>
    <w:rsid w:val="00735F2A"/>
    <w:rsid w:val="0073606F"/>
    <w:rsid w:val="00736EE4"/>
    <w:rsid w:val="00737D24"/>
    <w:rsid w:val="00737DE7"/>
    <w:rsid w:val="00737FFB"/>
    <w:rsid w:val="007401C9"/>
    <w:rsid w:val="00741967"/>
    <w:rsid w:val="00741A14"/>
    <w:rsid w:val="00741E12"/>
    <w:rsid w:val="00742333"/>
    <w:rsid w:val="00743188"/>
    <w:rsid w:val="00743570"/>
    <w:rsid w:val="007439F9"/>
    <w:rsid w:val="00743EF7"/>
    <w:rsid w:val="00745354"/>
    <w:rsid w:val="00746FED"/>
    <w:rsid w:val="00747E7C"/>
    <w:rsid w:val="007502B0"/>
    <w:rsid w:val="007507DF"/>
    <w:rsid w:val="007507F6"/>
    <w:rsid w:val="00751CD6"/>
    <w:rsid w:val="00751D49"/>
    <w:rsid w:val="00752286"/>
    <w:rsid w:val="007525FD"/>
    <w:rsid w:val="00753A6F"/>
    <w:rsid w:val="0075448C"/>
    <w:rsid w:val="00754551"/>
    <w:rsid w:val="00756483"/>
    <w:rsid w:val="00756E7B"/>
    <w:rsid w:val="0075736D"/>
    <w:rsid w:val="00761BC3"/>
    <w:rsid w:val="00761F79"/>
    <w:rsid w:val="007624F3"/>
    <w:rsid w:val="007632BB"/>
    <w:rsid w:val="00763E1F"/>
    <w:rsid w:val="0076407F"/>
    <w:rsid w:val="0076449A"/>
    <w:rsid w:val="0076472D"/>
    <w:rsid w:val="0076474F"/>
    <w:rsid w:val="0076489F"/>
    <w:rsid w:val="00767AD4"/>
    <w:rsid w:val="007713C4"/>
    <w:rsid w:val="00771708"/>
    <w:rsid w:val="0077197C"/>
    <w:rsid w:val="00771F17"/>
    <w:rsid w:val="00772578"/>
    <w:rsid w:val="0077563C"/>
    <w:rsid w:val="0077581B"/>
    <w:rsid w:val="00775AF6"/>
    <w:rsid w:val="0077616E"/>
    <w:rsid w:val="00776991"/>
    <w:rsid w:val="00777172"/>
    <w:rsid w:val="00777AD3"/>
    <w:rsid w:val="00780265"/>
    <w:rsid w:val="007805ED"/>
    <w:rsid w:val="007813BB"/>
    <w:rsid w:val="00782599"/>
    <w:rsid w:val="00782F39"/>
    <w:rsid w:val="00783F0B"/>
    <w:rsid w:val="00784B10"/>
    <w:rsid w:val="00785A91"/>
    <w:rsid w:val="00786241"/>
    <w:rsid w:val="00787050"/>
    <w:rsid w:val="007878EF"/>
    <w:rsid w:val="00790204"/>
    <w:rsid w:val="0079047D"/>
    <w:rsid w:val="0079076F"/>
    <w:rsid w:val="00790AF9"/>
    <w:rsid w:val="007917F9"/>
    <w:rsid w:val="00791E1A"/>
    <w:rsid w:val="00791FB4"/>
    <w:rsid w:val="00792381"/>
    <w:rsid w:val="00792C31"/>
    <w:rsid w:val="00792D5D"/>
    <w:rsid w:val="00792F88"/>
    <w:rsid w:val="007936FE"/>
    <w:rsid w:val="007939CD"/>
    <w:rsid w:val="007946FB"/>
    <w:rsid w:val="00794B7F"/>
    <w:rsid w:val="00794DDD"/>
    <w:rsid w:val="007954E5"/>
    <w:rsid w:val="007959E6"/>
    <w:rsid w:val="00795CBF"/>
    <w:rsid w:val="00796071"/>
    <w:rsid w:val="00796819"/>
    <w:rsid w:val="007A0102"/>
    <w:rsid w:val="007A0C9A"/>
    <w:rsid w:val="007A0D66"/>
    <w:rsid w:val="007A26F1"/>
    <w:rsid w:val="007A2FA1"/>
    <w:rsid w:val="007A31A8"/>
    <w:rsid w:val="007A373F"/>
    <w:rsid w:val="007A3E07"/>
    <w:rsid w:val="007A4626"/>
    <w:rsid w:val="007A473B"/>
    <w:rsid w:val="007A5CB0"/>
    <w:rsid w:val="007A5D2C"/>
    <w:rsid w:val="007A5E5D"/>
    <w:rsid w:val="007A6553"/>
    <w:rsid w:val="007A6FF9"/>
    <w:rsid w:val="007A720A"/>
    <w:rsid w:val="007A7F20"/>
    <w:rsid w:val="007B0BF7"/>
    <w:rsid w:val="007B1703"/>
    <w:rsid w:val="007B1861"/>
    <w:rsid w:val="007B2454"/>
    <w:rsid w:val="007B267F"/>
    <w:rsid w:val="007B3C61"/>
    <w:rsid w:val="007B40F8"/>
    <w:rsid w:val="007B4EB9"/>
    <w:rsid w:val="007B5A80"/>
    <w:rsid w:val="007B676F"/>
    <w:rsid w:val="007B78D9"/>
    <w:rsid w:val="007B7D0B"/>
    <w:rsid w:val="007C0B2B"/>
    <w:rsid w:val="007C0D1D"/>
    <w:rsid w:val="007C0F1A"/>
    <w:rsid w:val="007C1E3F"/>
    <w:rsid w:val="007C25BF"/>
    <w:rsid w:val="007C2813"/>
    <w:rsid w:val="007C2962"/>
    <w:rsid w:val="007C3541"/>
    <w:rsid w:val="007C4948"/>
    <w:rsid w:val="007C4BF8"/>
    <w:rsid w:val="007C5135"/>
    <w:rsid w:val="007C60EB"/>
    <w:rsid w:val="007C700C"/>
    <w:rsid w:val="007D2359"/>
    <w:rsid w:val="007D298F"/>
    <w:rsid w:val="007D2AD2"/>
    <w:rsid w:val="007D4238"/>
    <w:rsid w:val="007D4417"/>
    <w:rsid w:val="007D5780"/>
    <w:rsid w:val="007D5BAB"/>
    <w:rsid w:val="007D6E13"/>
    <w:rsid w:val="007E1131"/>
    <w:rsid w:val="007E176D"/>
    <w:rsid w:val="007E287D"/>
    <w:rsid w:val="007E2B78"/>
    <w:rsid w:val="007E3682"/>
    <w:rsid w:val="007E3B04"/>
    <w:rsid w:val="007E3B63"/>
    <w:rsid w:val="007E3C1A"/>
    <w:rsid w:val="007E5765"/>
    <w:rsid w:val="007E6051"/>
    <w:rsid w:val="007E6E97"/>
    <w:rsid w:val="007E7344"/>
    <w:rsid w:val="007F2E31"/>
    <w:rsid w:val="007F3375"/>
    <w:rsid w:val="007F392B"/>
    <w:rsid w:val="007F39D6"/>
    <w:rsid w:val="007F49E8"/>
    <w:rsid w:val="007F5515"/>
    <w:rsid w:val="007F56BC"/>
    <w:rsid w:val="007F5A49"/>
    <w:rsid w:val="007F604D"/>
    <w:rsid w:val="007F6730"/>
    <w:rsid w:val="007F7520"/>
    <w:rsid w:val="007F7E47"/>
    <w:rsid w:val="00801551"/>
    <w:rsid w:val="00801630"/>
    <w:rsid w:val="00801983"/>
    <w:rsid w:val="00801C62"/>
    <w:rsid w:val="00803594"/>
    <w:rsid w:val="00803AD7"/>
    <w:rsid w:val="00804D4D"/>
    <w:rsid w:val="00805687"/>
    <w:rsid w:val="0080604F"/>
    <w:rsid w:val="00806160"/>
    <w:rsid w:val="00806176"/>
    <w:rsid w:val="00806860"/>
    <w:rsid w:val="0080769E"/>
    <w:rsid w:val="00807813"/>
    <w:rsid w:val="008102A1"/>
    <w:rsid w:val="0081047E"/>
    <w:rsid w:val="00810ABB"/>
    <w:rsid w:val="00810E9D"/>
    <w:rsid w:val="0081125A"/>
    <w:rsid w:val="00811815"/>
    <w:rsid w:val="008119DF"/>
    <w:rsid w:val="00811A55"/>
    <w:rsid w:val="00811A6C"/>
    <w:rsid w:val="0081237F"/>
    <w:rsid w:val="0081452A"/>
    <w:rsid w:val="008146DA"/>
    <w:rsid w:val="008157B0"/>
    <w:rsid w:val="00817BEA"/>
    <w:rsid w:val="00821B97"/>
    <w:rsid w:val="00822449"/>
    <w:rsid w:val="008229BE"/>
    <w:rsid w:val="00822CEC"/>
    <w:rsid w:val="00824440"/>
    <w:rsid w:val="0082549F"/>
    <w:rsid w:val="00825EB4"/>
    <w:rsid w:val="00826385"/>
    <w:rsid w:val="0082759F"/>
    <w:rsid w:val="00830444"/>
    <w:rsid w:val="00830918"/>
    <w:rsid w:val="00831527"/>
    <w:rsid w:val="00831DC3"/>
    <w:rsid w:val="00832AD5"/>
    <w:rsid w:val="00832BFB"/>
    <w:rsid w:val="00833935"/>
    <w:rsid w:val="00833AC7"/>
    <w:rsid w:val="00834F5D"/>
    <w:rsid w:val="00835FFE"/>
    <w:rsid w:val="008360F7"/>
    <w:rsid w:val="008368B8"/>
    <w:rsid w:val="008371C1"/>
    <w:rsid w:val="00840AFC"/>
    <w:rsid w:val="00841637"/>
    <w:rsid w:val="00842A2C"/>
    <w:rsid w:val="00842C3F"/>
    <w:rsid w:val="0084454C"/>
    <w:rsid w:val="00845DE5"/>
    <w:rsid w:val="008501BA"/>
    <w:rsid w:val="008504A5"/>
    <w:rsid w:val="00850E83"/>
    <w:rsid w:val="0085179E"/>
    <w:rsid w:val="00851DA0"/>
    <w:rsid w:val="00851E47"/>
    <w:rsid w:val="008536E6"/>
    <w:rsid w:val="00853941"/>
    <w:rsid w:val="00854097"/>
    <w:rsid w:val="00854274"/>
    <w:rsid w:val="008562F1"/>
    <w:rsid w:val="008568AB"/>
    <w:rsid w:val="008574F0"/>
    <w:rsid w:val="00860869"/>
    <w:rsid w:val="008608BA"/>
    <w:rsid w:val="008616D0"/>
    <w:rsid w:val="00861B33"/>
    <w:rsid w:val="00862AF5"/>
    <w:rsid w:val="00863E57"/>
    <w:rsid w:val="00864109"/>
    <w:rsid w:val="0086495C"/>
    <w:rsid w:val="00864ED1"/>
    <w:rsid w:val="00865AB2"/>
    <w:rsid w:val="00865D15"/>
    <w:rsid w:val="00866684"/>
    <w:rsid w:val="00866D90"/>
    <w:rsid w:val="008678ED"/>
    <w:rsid w:val="0087144A"/>
    <w:rsid w:val="0087294B"/>
    <w:rsid w:val="00872CDA"/>
    <w:rsid w:val="00873087"/>
    <w:rsid w:val="008731F4"/>
    <w:rsid w:val="00873D70"/>
    <w:rsid w:val="00874213"/>
    <w:rsid w:val="00874542"/>
    <w:rsid w:val="00876DBF"/>
    <w:rsid w:val="0087701C"/>
    <w:rsid w:val="00877C1C"/>
    <w:rsid w:val="00880A20"/>
    <w:rsid w:val="00880CDA"/>
    <w:rsid w:val="0088176A"/>
    <w:rsid w:val="008818A8"/>
    <w:rsid w:val="008823B0"/>
    <w:rsid w:val="0088249F"/>
    <w:rsid w:val="00882671"/>
    <w:rsid w:val="00882B38"/>
    <w:rsid w:val="00882D29"/>
    <w:rsid w:val="00883277"/>
    <w:rsid w:val="00883433"/>
    <w:rsid w:val="008834FD"/>
    <w:rsid w:val="0088358C"/>
    <w:rsid w:val="008846D9"/>
    <w:rsid w:val="008861C7"/>
    <w:rsid w:val="00887146"/>
    <w:rsid w:val="008873A8"/>
    <w:rsid w:val="008877CB"/>
    <w:rsid w:val="00887924"/>
    <w:rsid w:val="008901E0"/>
    <w:rsid w:val="00890A98"/>
    <w:rsid w:val="00892E9D"/>
    <w:rsid w:val="008939E5"/>
    <w:rsid w:val="00895873"/>
    <w:rsid w:val="00895C26"/>
    <w:rsid w:val="00896616"/>
    <w:rsid w:val="00897636"/>
    <w:rsid w:val="00897753"/>
    <w:rsid w:val="008A06E9"/>
    <w:rsid w:val="008A0FCF"/>
    <w:rsid w:val="008A1E74"/>
    <w:rsid w:val="008A1FBD"/>
    <w:rsid w:val="008A3802"/>
    <w:rsid w:val="008A39B4"/>
    <w:rsid w:val="008A4EBA"/>
    <w:rsid w:val="008A4F29"/>
    <w:rsid w:val="008A4F3D"/>
    <w:rsid w:val="008A5D5C"/>
    <w:rsid w:val="008A6102"/>
    <w:rsid w:val="008A742F"/>
    <w:rsid w:val="008B0891"/>
    <w:rsid w:val="008B0ADD"/>
    <w:rsid w:val="008B125E"/>
    <w:rsid w:val="008B164D"/>
    <w:rsid w:val="008B38D7"/>
    <w:rsid w:val="008B52CD"/>
    <w:rsid w:val="008B5401"/>
    <w:rsid w:val="008B5E42"/>
    <w:rsid w:val="008B646D"/>
    <w:rsid w:val="008B65CF"/>
    <w:rsid w:val="008B6A5F"/>
    <w:rsid w:val="008B701B"/>
    <w:rsid w:val="008B7761"/>
    <w:rsid w:val="008C05A5"/>
    <w:rsid w:val="008C1140"/>
    <w:rsid w:val="008C16B5"/>
    <w:rsid w:val="008C212C"/>
    <w:rsid w:val="008C28D2"/>
    <w:rsid w:val="008C29FE"/>
    <w:rsid w:val="008C39B5"/>
    <w:rsid w:val="008C3AF9"/>
    <w:rsid w:val="008C5D20"/>
    <w:rsid w:val="008C636D"/>
    <w:rsid w:val="008C706A"/>
    <w:rsid w:val="008C7C59"/>
    <w:rsid w:val="008C7DC6"/>
    <w:rsid w:val="008D0764"/>
    <w:rsid w:val="008D07C7"/>
    <w:rsid w:val="008D0B19"/>
    <w:rsid w:val="008D0FC9"/>
    <w:rsid w:val="008D1337"/>
    <w:rsid w:val="008D14F1"/>
    <w:rsid w:val="008D183C"/>
    <w:rsid w:val="008D1DC7"/>
    <w:rsid w:val="008D214D"/>
    <w:rsid w:val="008D27B0"/>
    <w:rsid w:val="008D2912"/>
    <w:rsid w:val="008D2979"/>
    <w:rsid w:val="008D30D6"/>
    <w:rsid w:val="008D372B"/>
    <w:rsid w:val="008D3795"/>
    <w:rsid w:val="008D37A8"/>
    <w:rsid w:val="008D3F05"/>
    <w:rsid w:val="008D3F75"/>
    <w:rsid w:val="008D439C"/>
    <w:rsid w:val="008D48A6"/>
    <w:rsid w:val="008D492C"/>
    <w:rsid w:val="008D4CB7"/>
    <w:rsid w:val="008D5D48"/>
    <w:rsid w:val="008D5EFB"/>
    <w:rsid w:val="008D6762"/>
    <w:rsid w:val="008D778C"/>
    <w:rsid w:val="008D7ADD"/>
    <w:rsid w:val="008D7B74"/>
    <w:rsid w:val="008E09F9"/>
    <w:rsid w:val="008E20BC"/>
    <w:rsid w:val="008E2B0F"/>
    <w:rsid w:val="008E2C3B"/>
    <w:rsid w:val="008E3A6D"/>
    <w:rsid w:val="008E431D"/>
    <w:rsid w:val="008E497B"/>
    <w:rsid w:val="008E589F"/>
    <w:rsid w:val="008E659B"/>
    <w:rsid w:val="008E6D52"/>
    <w:rsid w:val="008E6FEF"/>
    <w:rsid w:val="008F060A"/>
    <w:rsid w:val="008F1408"/>
    <w:rsid w:val="008F18AC"/>
    <w:rsid w:val="008F22B4"/>
    <w:rsid w:val="008F2A54"/>
    <w:rsid w:val="008F2FA0"/>
    <w:rsid w:val="008F3143"/>
    <w:rsid w:val="008F3D25"/>
    <w:rsid w:val="008F4720"/>
    <w:rsid w:val="008F52D5"/>
    <w:rsid w:val="008F5771"/>
    <w:rsid w:val="008F5FDB"/>
    <w:rsid w:val="008F6958"/>
    <w:rsid w:val="008F7381"/>
    <w:rsid w:val="008F7CC4"/>
    <w:rsid w:val="0090046F"/>
    <w:rsid w:val="0090097C"/>
    <w:rsid w:val="00900C93"/>
    <w:rsid w:val="0090131C"/>
    <w:rsid w:val="00901B13"/>
    <w:rsid w:val="00902A07"/>
    <w:rsid w:val="00903241"/>
    <w:rsid w:val="00904830"/>
    <w:rsid w:val="00904E1C"/>
    <w:rsid w:val="0090525C"/>
    <w:rsid w:val="0090535B"/>
    <w:rsid w:val="00906183"/>
    <w:rsid w:val="009067C4"/>
    <w:rsid w:val="00906819"/>
    <w:rsid w:val="00906995"/>
    <w:rsid w:val="00906EF0"/>
    <w:rsid w:val="00910278"/>
    <w:rsid w:val="00910C1A"/>
    <w:rsid w:val="00910E5A"/>
    <w:rsid w:val="0091128A"/>
    <w:rsid w:val="0091137B"/>
    <w:rsid w:val="00911936"/>
    <w:rsid w:val="00911DC8"/>
    <w:rsid w:val="009141AF"/>
    <w:rsid w:val="00914D92"/>
    <w:rsid w:val="00914EF5"/>
    <w:rsid w:val="00915553"/>
    <w:rsid w:val="00915C0E"/>
    <w:rsid w:val="00915C83"/>
    <w:rsid w:val="00915F79"/>
    <w:rsid w:val="0091611D"/>
    <w:rsid w:val="0091613E"/>
    <w:rsid w:val="00916D21"/>
    <w:rsid w:val="00916EDF"/>
    <w:rsid w:val="009179E2"/>
    <w:rsid w:val="00920998"/>
    <w:rsid w:val="00920E49"/>
    <w:rsid w:val="0092125B"/>
    <w:rsid w:val="0092128A"/>
    <w:rsid w:val="00922B3D"/>
    <w:rsid w:val="00923034"/>
    <w:rsid w:val="00923396"/>
    <w:rsid w:val="009238E6"/>
    <w:rsid w:val="00924E41"/>
    <w:rsid w:val="0092564A"/>
    <w:rsid w:val="00925C20"/>
    <w:rsid w:val="00925D46"/>
    <w:rsid w:val="009268AE"/>
    <w:rsid w:val="00927293"/>
    <w:rsid w:val="0092798C"/>
    <w:rsid w:val="00927B0E"/>
    <w:rsid w:val="00927C77"/>
    <w:rsid w:val="00930BEB"/>
    <w:rsid w:val="009310BE"/>
    <w:rsid w:val="009323C0"/>
    <w:rsid w:val="00932D80"/>
    <w:rsid w:val="00933C3D"/>
    <w:rsid w:val="00934EC3"/>
    <w:rsid w:val="009356A8"/>
    <w:rsid w:val="00936224"/>
    <w:rsid w:val="00937B00"/>
    <w:rsid w:val="00941E67"/>
    <w:rsid w:val="009424DB"/>
    <w:rsid w:val="00942CF7"/>
    <w:rsid w:val="00942D9C"/>
    <w:rsid w:val="009439FD"/>
    <w:rsid w:val="0094461E"/>
    <w:rsid w:val="00944710"/>
    <w:rsid w:val="00945A08"/>
    <w:rsid w:val="00945B78"/>
    <w:rsid w:val="00946347"/>
    <w:rsid w:val="00947F88"/>
    <w:rsid w:val="009501BB"/>
    <w:rsid w:val="00950FA1"/>
    <w:rsid w:val="00951CCB"/>
    <w:rsid w:val="00951E41"/>
    <w:rsid w:val="00953A02"/>
    <w:rsid w:val="00954D8F"/>
    <w:rsid w:val="00955FA6"/>
    <w:rsid w:val="0095611C"/>
    <w:rsid w:val="00956361"/>
    <w:rsid w:val="0095731E"/>
    <w:rsid w:val="00957877"/>
    <w:rsid w:val="0096063A"/>
    <w:rsid w:val="00960EA5"/>
    <w:rsid w:val="009615FF"/>
    <w:rsid w:val="0096193D"/>
    <w:rsid w:val="009631AC"/>
    <w:rsid w:val="00963315"/>
    <w:rsid w:val="009633D8"/>
    <w:rsid w:val="00963ABE"/>
    <w:rsid w:val="00963E6A"/>
    <w:rsid w:val="00963FEB"/>
    <w:rsid w:val="0096419A"/>
    <w:rsid w:val="009664FA"/>
    <w:rsid w:val="00966922"/>
    <w:rsid w:val="00966A04"/>
    <w:rsid w:val="00966CBB"/>
    <w:rsid w:val="00967327"/>
    <w:rsid w:val="00967767"/>
    <w:rsid w:val="00967EE8"/>
    <w:rsid w:val="0097245A"/>
    <w:rsid w:val="00972503"/>
    <w:rsid w:val="00973575"/>
    <w:rsid w:val="00973EA3"/>
    <w:rsid w:val="009751C0"/>
    <w:rsid w:val="009757C6"/>
    <w:rsid w:val="0097689E"/>
    <w:rsid w:val="0097707B"/>
    <w:rsid w:val="009773B2"/>
    <w:rsid w:val="00977A4D"/>
    <w:rsid w:val="00977CFA"/>
    <w:rsid w:val="00980081"/>
    <w:rsid w:val="00981227"/>
    <w:rsid w:val="00981609"/>
    <w:rsid w:val="00981C64"/>
    <w:rsid w:val="00983699"/>
    <w:rsid w:val="009839FE"/>
    <w:rsid w:val="00983B74"/>
    <w:rsid w:val="00984C3F"/>
    <w:rsid w:val="009865ED"/>
    <w:rsid w:val="00987260"/>
    <w:rsid w:val="009908AE"/>
    <w:rsid w:val="00990C86"/>
    <w:rsid w:val="00991168"/>
    <w:rsid w:val="00991EA4"/>
    <w:rsid w:val="00992C1B"/>
    <w:rsid w:val="00994209"/>
    <w:rsid w:val="0099530E"/>
    <w:rsid w:val="0099649F"/>
    <w:rsid w:val="00997F16"/>
    <w:rsid w:val="009A048F"/>
    <w:rsid w:val="009A1181"/>
    <w:rsid w:val="009A1716"/>
    <w:rsid w:val="009A1846"/>
    <w:rsid w:val="009A1A1D"/>
    <w:rsid w:val="009A1E15"/>
    <w:rsid w:val="009A1FF7"/>
    <w:rsid w:val="009A2373"/>
    <w:rsid w:val="009A27BC"/>
    <w:rsid w:val="009A2A47"/>
    <w:rsid w:val="009A3136"/>
    <w:rsid w:val="009A3470"/>
    <w:rsid w:val="009A36B6"/>
    <w:rsid w:val="009A43E2"/>
    <w:rsid w:val="009A4AA0"/>
    <w:rsid w:val="009A4ACD"/>
    <w:rsid w:val="009A4B34"/>
    <w:rsid w:val="009A528F"/>
    <w:rsid w:val="009A569F"/>
    <w:rsid w:val="009A6A8D"/>
    <w:rsid w:val="009A79C6"/>
    <w:rsid w:val="009A7A49"/>
    <w:rsid w:val="009A7C85"/>
    <w:rsid w:val="009B02D4"/>
    <w:rsid w:val="009B27B8"/>
    <w:rsid w:val="009B5A90"/>
    <w:rsid w:val="009B5AAE"/>
    <w:rsid w:val="009B5D85"/>
    <w:rsid w:val="009B6ECB"/>
    <w:rsid w:val="009B70B4"/>
    <w:rsid w:val="009B7800"/>
    <w:rsid w:val="009B7BC7"/>
    <w:rsid w:val="009C14C8"/>
    <w:rsid w:val="009C2405"/>
    <w:rsid w:val="009C3FB1"/>
    <w:rsid w:val="009C509B"/>
    <w:rsid w:val="009C59B6"/>
    <w:rsid w:val="009C5D2B"/>
    <w:rsid w:val="009C6273"/>
    <w:rsid w:val="009C657F"/>
    <w:rsid w:val="009C67B8"/>
    <w:rsid w:val="009C6BAC"/>
    <w:rsid w:val="009C7301"/>
    <w:rsid w:val="009C7C88"/>
    <w:rsid w:val="009C7D31"/>
    <w:rsid w:val="009C7D8E"/>
    <w:rsid w:val="009C7E4E"/>
    <w:rsid w:val="009D08FA"/>
    <w:rsid w:val="009D0ED8"/>
    <w:rsid w:val="009D13A0"/>
    <w:rsid w:val="009D16CB"/>
    <w:rsid w:val="009D1F37"/>
    <w:rsid w:val="009D2AA2"/>
    <w:rsid w:val="009D37E8"/>
    <w:rsid w:val="009D3998"/>
    <w:rsid w:val="009D3FEA"/>
    <w:rsid w:val="009D4619"/>
    <w:rsid w:val="009D469D"/>
    <w:rsid w:val="009D54B0"/>
    <w:rsid w:val="009D61C3"/>
    <w:rsid w:val="009D7546"/>
    <w:rsid w:val="009D7EDB"/>
    <w:rsid w:val="009E0867"/>
    <w:rsid w:val="009E1536"/>
    <w:rsid w:val="009E15D8"/>
    <w:rsid w:val="009E210E"/>
    <w:rsid w:val="009E3022"/>
    <w:rsid w:val="009E32E6"/>
    <w:rsid w:val="009E3EF3"/>
    <w:rsid w:val="009E478C"/>
    <w:rsid w:val="009E4D24"/>
    <w:rsid w:val="009E59E3"/>
    <w:rsid w:val="009E5C76"/>
    <w:rsid w:val="009E7C64"/>
    <w:rsid w:val="009F0484"/>
    <w:rsid w:val="009F1492"/>
    <w:rsid w:val="009F1BB0"/>
    <w:rsid w:val="009F1DAD"/>
    <w:rsid w:val="009F244D"/>
    <w:rsid w:val="009F2A1F"/>
    <w:rsid w:val="009F328E"/>
    <w:rsid w:val="009F3863"/>
    <w:rsid w:val="009F398F"/>
    <w:rsid w:val="009F3F96"/>
    <w:rsid w:val="009F4113"/>
    <w:rsid w:val="009F436A"/>
    <w:rsid w:val="009F4AC3"/>
    <w:rsid w:val="009F5CA5"/>
    <w:rsid w:val="009F62DE"/>
    <w:rsid w:val="009F6528"/>
    <w:rsid w:val="009F6935"/>
    <w:rsid w:val="009F78A8"/>
    <w:rsid w:val="00A013C7"/>
    <w:rsid w:val="00A01453"/>
    <w:rsid w:val="00A014C8"/>
    <w:rsid w:val="00A0223F"/>
    <w:rsid w:val="00A02DAA"/>
    <w:rsid w:val="00A03481"/>
    <w:rsid w:val="00A03B08"/>
    <w:rsid w:val="00A03FCD"/>
    <w:rsid w:val="00A0412F"/>
    <w:rsid w:val="00A04242"/>
    <w:rsid w:val="00A04294"/>
    <w:rsid w:val="00A04C5D"/>
    <w:rsid w:val="00A04C6A"/>
    <w:rsid w:val="00A05568"/>
    <w:rsid w:val="00A05B90"/>
    <w:rsid w:val="00A062E7"/>
    <w:rsid w:val="00A06829"/>
    <w:rsid w:val="00A06CCE"/>
    <w:rsid w:val="00A07D0A"/>
    <w:rsid w:val="00A07E2D"/>
    <w:rsid w:val="00A113B4"/>
    <w:rsid w:val="00A11649"/>
    <w:rsid w:val="00A11CA4"/>
    <w:rsid w:val="00A122E6"/>
    <w:rsid w:val="00A1237F"/>
    <w:rsid w:val="00A1337B"/>
    <w:rsid w:val="00A14901"/>
    <w:rsid w:val="00A152AB"/>
    <w:rsid w:val="00A159FE"/>
    <w:rsid w:val="00A15E29"/>
    <w:rsid w:val="00A163DC"/>
    <w:rsid w:val="00A16A66"/>
    <w:rsid w:val="00A175CC"/>
    <w:rsid w:val="00A17E77"/>
    <w:rsid w:val="00A2047D"/>
    <w:rsid w:val="00A20AE9"/>
    <w:rsid w:val="00A2114C"/>
    <w:rsid w:val="00A228CB"/>
    <w:rsid w:val="00A22AF5"/>
    <w:rsid w:val="00A22C20"/>
    <w:rsid w:val="00A23051"/>
    <w:rsid w:val="00A24546"/>
    <w:rsid w:val="00A251E9"/>
    <w:rsid w:val="00A252DF"/>
    <w:rsid w:val="00A26A34"/>
    <w:rsid w:val="00A276E7"/>
    <w:rsid w:val="00A27B69"/>
    <w:rsid w:val="00A27C3B"/>
    <w:rsid w:val="00A27CB7"/>
    <w:rsid w:val="00A308A5"/>
    <w:rsid w:val="00A30E45"/>
    <w:rsid w:val="00A30EE7"/>
    <w:rsid w:val="00A3148E"/>
    <w:rsid w:val="00A326AB"/>
    <w:rsid w:val="00A3280A"/>
    <w:rsid w:val="00A32A77"/>
    <w:rsid w:val="00A32A7B"/>
    <w:rsid w:val="00A32C98"/>
    <w:rsid w:val="00A32FD6"/>
    <w:rsid w:val="00A33769"/>
    <w:rsid w:val="00A33A5B"/>
    <w:rsid w:val="00A33BAF"/>
    <w:rsid w:val="00A33E2F"/>
    <w:rsid w:val="00A351DC"/>
    <w:rsid w:val="00A3586B"/>
    <w:rsid w:val="00A35E41"/>
    <w:rsid w:val="00A36FC6"/>
    <w:rsid w:val="00A40216"/>
    <w:rsid w:val="00A40439"/>
    <w:rsid w:val="00A41C24"/>
    <w:rsid w:val="00A41DC1"/>
    <w:rsid w:val="00A4281A"/>
    <w:rsid w:val="00A42A03"/>
    <w:rsid w:val="00A430DC"/>
    <w:rsid w:val="00A43205"/>
    <w:rsid w:val="00A43267"/>
    <w:rsid w:val="00A44840"/>
    <w:rsid w:val="00A448CC"/>
    <w:rsid w:val="00A4511F"/>
    <w:rsid w:val="00A45335"/>
    <w:rsid w:val="00A457E0"/>
    <w:rsid w:val="00A45F85"/>
    <w:rsid w:val="00A463DD"/>
    <w:rsid w:val="00A46587"/>
    <w:rsid w:val="00A46948"/>
    <w:rsid w:val="00A47201"/>
    <w:rsid w:val="00A47447"/>
    <w:rsid w:val="00A47A53"/>
    <w:rsid w:val="00A47F03"/>
    <w:rsid w:val="00A50624"/>
    <w:rsid w:val="00A50AD6"/>
    <w:rsid w:val="00A50D18"/>
    <w:rsid w:val="00A50F11"/>
    <w:rsid w:val="00A51084"/>
    <w:rsid w:val="00A5197B"/>
    <w:rsid w:val="00A522F9"/>
    <w:rsid w:val="00A52B3B"/>
    <w:rsid w:val="00A53017"/>
    <w:rsid w:val="00A5384A"/>
    <w:rsid w:val="00A54DC4"/>
    <w:rsid w:val="00A55397"/>
    <w:rsid w:val="00A57AA5"/>
    <w:rsid w:val="00A57E1E"/>
    <w:rsid w:val="00A60244"/>
    <w:rsid w:val="00A60D56"/>
    <w:rsid w:val="00A60F7C"/>
    <w:rsid w:val="00A61480"/>
    <w:rsid w:val="00A6186E"/>
    <w:rsid w:val="00A619BF"/>
    <w:rsid w:val="00A61D62"/>
    <w:rsid w:val="00A62F5B"/>
    <w:rsid w:val="00A631D1"/>
    <w:rsid w:val="00A6471C"/>
    <w:rsid w:val="00A65270"/>
    <w:rsid w:val="00A654A8"/>
    <w:rsid w:val="00A6590D"/>
    <w:rsid w:val="00A6621B"/>
    <w:rsid w:val="00A66895"/>
    <w:rsid w:val="00A66EE9"/>
    <w:rsid w:val="00A67DE7"/>
    <w:rsid w:val="00A67FF7"/>
    <w:rsid w:val="00A706E8"/>
    <w:rsid w:val="00A70A65"/>
    <w:rsid w:val="00A70E10"/>
    <w:rsid w:val="00A71298"/>
    <w:rsid w:val="00A71B22"/>
    <w:rsid w:val="00A72234"/>
    <w:rsid w:val="00A728D8"/>
    <w:rsid w:val="00A73364"/>
    <w:rsid w:val="00A76C39"/>
    <w:rsid w:val="00A772C8"/>
    <w:rsid w:val="00A774A4"/>
    <w:rsid w:val="00A77A48"/>
    <w:rsid w:val="00A80F43"/>
    <w:rsid w:val="00A8155F"/>
    <w:rsid w:val="00A82B35"/>
    <w:rsid w:val="00A83798"/>
    <w:rsid w:val="00A839D8"/>
    <w:rsid w:val="00A83D41"/>
    <w:rsid w:val="00A83E1F"/>
    <w:rsid w:val="00A84119"/>
    <w:rsid w:val="00A85A68"/>
    <w:rsid w:val="00A867E7"/>
    <w:rsid w:val="00A86C34"/>
    <w:rsid w:val="00A8733A"/>
    <w:rsid w:val="00A87B6A"/>
    <w:rsid w:val="00A87F75"/>
    <w:rsid w:val="00A904DC"/>
    <w:rsid w:val="00A910DE"/>
    <w:rsid w:val="00A93728"/>
    <w:rsid w:val="00A93B22"/>
    <w:rsid w:val="00A94067"/>
    <w:rsid w:val="00A9447A"/>
    <w:rsid w:val="00A944DE"/>
    <w:rsid w:val="00A95E2B"/>
    <w:rsid w:val="00A966EA"/>
    <w:rsid w:val="00A97B35"/>
    <w:rsid w:val="00A97F3C"/>
    <w:rsid w:val="00A97FBF"/>
    <w:rsid w:val="00AA06E8"/>
    <w:rsid w:val="00AA1428"/>
    <w:rsid w:val="00AA1AF4"/>
    <w:rsid w:val="00AA24E3"/>
    <w:rsid w:val="00AA3663"/>
    <w:rsid w:val="00AA450B"/>
    <w:rsid w:val="00AA6314"/>
    <w:rsid w:val="00AA7A31"/>
    <w:rsid w:val="00AA7C46"/>
    <w:rsid w:val="00AB0929"/>
    <w:rsid w:val="00AB1B85"/>
    <w:rsid w:val="00AB2D44"/>
    <w:rsid w:val="00AB2DA8"/>
    <w:rsid w:val="00AB2F71"/>
    <w:rsid w:val="00AB2FE1"/>
    <w:rsid w:val="00AB393E"/>
    <w:rsid w:val="00AB3CAF"/>
    <w:rsid w:val="00AB3F82"/>
    <w:rsid w:val="00AB4590"/>
    <w:rsid w:val="00AB5EB2"/>
    <w:rsid w:val="00AB626A"/>
    <w:rsid w:val="00AB6594"/>
    <w:rsid w:val="00AB6B9B"/>
    <w:rsid w:val="00AB6DEB"/>
    <w:rsid w:val="00AC09C4"/>
    <w:rsid w:val="00AC1401"/>
    <w:rsid w:val="00AC155D"/>
    <w:rsid w:val="00AC1911"/>
    <w:rsid w:val="00AC29F1"/>
    <w:rsid w:val="00AC2B1C"/>
    <w:rsid w:val="00AC2EDF"/>
    <w:rsid w:val="00AC3EC4"/>
    <w:rsid w:val="00AC5C95"/>
    <w:rsid w:val="00AC6771"/>
    <w:rsid w:val="00AC77B9"/>
    <w:rsid w:val="00AC78C3"/>
    <w:rsid w:val="00AC7ECA"/>
    <w:rsid w:val="00AD1DE4"/>
    <w:rsid w:val="00AD2DA0"/>
    <w:rsid w:val="00AD3FBE"/>
    <w:rsid w:val="00AD45AF"/>
    <w:rsid w:val="00AD4CD7"/>
    <w:rsid w:val="00AD6CF4"/>
    <w:rsid w:val="00AD6E0F"/>
    <w:rsid w:val="00AD6FE1"/>
    <w:rsid w:val="00AD70BA"/>
    <w:rsid w:val="00AD768F"/>
    <w:rsid w:val="00AD7C02"/>
    <w:rsid w:val="00AE00AD"/>
    <w:rsid w:val="00AE0D89"/>
    <w:rsid w:val="00AE2660"/>
    <w:rsid w:val="00AE283E"/>
    <w:rsid w:val="00AE2EAB"/>
    <w:rsid w:val="00AE31AF"/>
    <w:rsid w:val="00AE3248"/>
    <w:rsid w:val="00AE394A"/>
    <w:rsid w:val="00AE3B2B"/>
    <w:rsid w:val="00AE3CDD"/>
    <w:rsid w:val="00AE43C8"/>
    <w:rsid w:val="00AE4AB1"/>
    <w:rsid w:val="00AE6077"/>
    <w:rsid w:val="00AE7537"/>
    <w:rsid w:val="00AF14D3"/>
    <w:rsid w:val="00AF1662"/>
    <w:rsid w:val="00AF27F9"/>
    <w:rsid w:val="00AF310C"/>
    <w:rsid w:val="00AF3E3C"/>
    <w:rsid w:val="00AF3E6D"/>
    <w:rsid w:val="00AF46CC"/>
    <w:rsid w:val="00AF6332"/>
    <w:rsid w:val="00AF635B"/>
    <w:rsid w:val="00AF7423"/>
    <w:rsid w:val="00AF772F"/>
    <w:rsid w:val="00AF7B8D"/>
    <w:rsid w:val="00B00CAC"/>
    <w:rsid w:val="00B0477B"/>
    <w:rsid w:val="00B04DBE"/>
    <w:rsid w:val="00B04DDB"/>
    <w:rsid w:val="00B06647"/>
    <w:rsid w:val="00B0688B"/>
    <w:rsid w:val="00B07DE7"/>
    <w:rsid w:val="00B10797"/>
    <w:rsid w:val="00B10C1F"/>
    <w:rsid w:val="00B10C2F"/>
    <w:rsid w:val="00B10D0F"/>
    <w:rsid w:val="00B110AE"/>
    <w:rsid w:val="00B111EE"/>
    <w:rsid w:val="00B11234"/>
    <w:rsid w:val="00B120E6"/>
    <w:rsid w:val="00B13387"/>
    <w:rsid w:val="00B13A51"/>
    <w:rsid w:val="00B13BCF"/>
    <w:rsid w:val="00B13BEA"/>
    <w:rsid w:val="00B1417A"/>
    <w:rsid w:val="00B15CDB"/>
    <w:rsid w:val="00B15EE0"/>
    <w:rsid w:val="00B170A9"/>
    <w:rsid w:val="00B17681"/>
    <w:rsid w:val="00B20BD8"/>
    <w:rsid w:val="00B21948"/>
    <w:rsid w:val="00B227C4"/>
    <w:rsid w:val="00B22C5C"/>
    <w:rsid w:val="00B22E01"/>
    <w:rsid w:val="00B24BAD"/>
    <w:rsid w:val="00B266AB"/>
    <w:rsid w:val="00B27073"/>
    <w:rsid w:val="00B27564"/>
    <w:rsid w:val="00B27B12"/>
    <w:rsid w:val="00B30EBC"/>
    <w:rsid w:val="00B31CDB"/>
    <w:rsid w:val="00B33D7C"/>
    <w:rsid w:val="00B344A7"/>
    <w:rsid w:val="00B34DDA"/>
    <w:rsid w:val="00B3546B"/>
    <w:rsid w:val="00B3574E"/>
    <w:rsid w:val="00B35AC9"/>
    <w:rsid w:val="00B3748E"/>
    <w:rsid w:val="00B408A9"/>
    <w:rsid w:val="00B416B4"/>
    <w:rsid w:val="00B41DDE"/>
    <w:rsid w:val="00B4201C"/>
    <w:rsid w:val="00B422F6"/>
    <w:rsid w:val="00B42535"/>
    <w:rsid w:val="00B433E5"/>
    <w:rsid w:val="00B434C8"/>
    <w:rsid w:val="00B43EF9"/>
    <w:rsid w:val="00B44ABD"/>
    <w:rsid w:val="00B4588C"/>
    <w:rsid w:val="00B45B23"/>
    <w:rsid w:val="00B45FA6"/>
    <w:rsid w:val="00B46D8D"/>
    <w:rsid w:val="00B4708F"/>
    <w:rsid w:val="00B47237"/>
    <w:rsid w:val="00B514FC"/>
    <w:rsid w:val="00B519D2"/>
    <w:rsid w:val="00B522C9"/>
    <w:rsid w:val="00B52534"/>
    <w:rsid w:val="00B52958"/>
    <w:rsid w:val="00B52EE5"/>
    <w:rsid w:val="00B533E4"/>
    <w:rsid w:val="00B54110"/>
    <w:rsid w:val="00B56077"/>
    <w:rsid w:val="00B565BC"/>
    <w:rsid w:val="00B57489"/>
    <w:rsid w:val="00B57AFA"/>
    <w:rsid w:val="00B6025F"/>
    <w:rsid w:val="00B60F0A"/>
    <w:rsid w:val="00B62F04"/>
    <w:rsid w:val="00B63C50"/>
    <w:rsid w:val="00B63E10"/>
    <w:rsid w:val="00B63EF7"/>
    <w:rsid w:val="00B647A6"/>
    <w:rsid w:val="00B64B37"/>
    <w:rsid w:val="00B657EE"/>
    <w:rsid w:val="00B65B1E"/>
    <w:rsid w:val="00B6649D"/>
    <w:rsid w:val="00B70D49"/>
    <w:rsid w:val="00B70EE4"/>
    <w:rsid w:val="00B70F83"/>
    <w:rsid w:val="00B7126E"/>
    <w:rsid w:val="00B7164B"/>
    <w:rsid w:val="00B71C79"/>
    <w:rsid w:val="00B72494"/>
    <w:rsid w:val="00B72869"/>
    <w:rsid w:val="00B733E1"/>
    <w:rsid w:val="00B7469F"/>
    <w:rsid w:val="00B757D7"/>
    <w:rsid w:val="00B75ACC"/>
    <w:rsid w:val="00B75B13"/>
    <w:rsid w:val="00B75D4B"/>
    <w:rsid w:val="00B75D97"/>
    <w:rsid w:val="00B7643C"/>
    <w:rsid w:val="00B7766D"/>
    <w:rsid w:val="00B80850"/>
    <w:rsid w:val="00B81170"/>
    <w:rsid w:val="00B8125D"/>
    <w:rsid w:val="00B81803"/>
    <w:rsid w:val="00B82463"/>
    <w:rsid w:val="00B82AD6"/>
    <w:rsid w:val="00B830DA"/>
    <w:rsid w:val="00B8469C"/>
    <w:rsid w:val="00B85671"/>
    <w:rsid w:val="00B857D3"/>
    <w:rsid w:val="00B8580F"/>
    <w:rsid w:val="00B85F6E"/>
    <w:rsid w:val="00B860E0"/>
    <w:rsid w:val="00B8647A"/>
    <w:rsid w:val="00B864B8"/>
    <w:rsid w:val="00B8670F"/>
    <w:rsid w:val="00B87DB3"/>
    <w:rsid w:val="00B900AB"/>
    <w:rsid w:val="00B907FC"/>
    <w:rsid w:val="00B91AEB"/>
    <w:rsid w:val="00B91F58"/>
    <w:rsid w:val="00B93122"/>
    <w:rsid w:val="00B93C4F"/>
    <w:rsid w:val="00B95E91"/>
    <w:rsid w:val="00B961B1"/>
    <w:rsid w:val="00B96535"/>
    <w:rsid w:val="00B96585"/>
    <w:rsid w:val="00B96896"/>
    <w:rsid w:val="00BA0CC1"/>
    <w:rsid w:val="00BA0F76"/>
    <w:rsid w:val="00BA1CCB"/>
    <w:rsid w:val="00BA1D68"/>
    <w:rsid w:val="00BA27EC"/>
    <w:rsid w:val="00BA2827"/>
    <w:rsid w:val="00BA28EA"/>
    <w:rsid w:val="00BA2C63"/>
    <w:rsid w:val="00BA3064"/>
    <w:rsid w:val="00BA373F"/>
    <w:rsid w:val="00BA41C7"/>
    <w:rsid w:val="00BA4AEA"/>
    <w:rsid w:val="00BA5475"/>
    <w:rsid w:val="00BA6404"/>
    <w:rsid w:val="00BA6E54"/>
    <w:rsid w:val="00BA6FF5"/>
    <w:rsid w:val="00BA7826"/>
    <w:rsid w:val="00BB070C"/>
    <w:rsid w:val="00BB106C"/>
    <w:rsid w:val="00BB1BA6"/>
    <w:rsid w:val="00BB1DEE"/>
    <w:rsid w:val="00BB1F84"/>
    <w:rsid w:val="00BB2BD3"/>
    <w:rsid w:val="00BB324B"/>
    <w:rsid w:val="00BB3B76"/>
    <w:rsid w:val="00BB401F"/>
    <w:rsid w:val="00BB752B"/>
    <w:rsid w:val="00BB77C5"/>
    <w:rsid w:val="00BB7A81"/>
    <w:rsid w:val="00BC0DD3"/>
    <w:rsid w:val="00BC1C41"/>
    <w:rsid w:val="00BC21B9"/>
    <w:rsid w:val="00BC35E0"/>
    <w:rsid w:val="00BC44FF"/>
    <w:rsid w:val="00BC48BC"/>
    <w:rsid w:val="00BC55EF"/>
    <w:rsid w:val="00BC5635"/>
    <w:rsid w:val="00BC6073"/>
    <w:rsid w:val="00BC64D5"/>
    <w:rsid w:val="00BC64E4"/>
    <w:rsid w:val="00BC6AB5"/>
    <w:rsid w:val="00BD02EC"/>
    <w:rsid w:val="00BD0338"/>
    <w:rsid w:val="00BD1AF6"/>
    <w:rsid w:val="00BD2123"/>
    <w:rsid w:val="00BD220B"/>
    <w:rsid w:val="00BD2450"/>
    <w:rsid w:val="00BD268D"/>
    <w:rsid w:val="00BD3007"/>
    <w:rsid w:val="00BD32F0"/>
    <w:rsid w:val="00BD3C22"/>
    <w:rsid w:val="00BD5C88"/>
    <w:rsid w:val="00BD77D2"/>
    <w:rsid w:val="00BD7C84"/>
    <w:rsid w:val="00BD7FF6"/>
    <w:rsid w:val="00BE02BD"/>
    <w:rsid w:val="00BE0445"/>
    <w:rsid w:val="00BE1D1A"/>
    <w:rsid w:val="00BE248B"/>
    <w:rsid w:val="00BE2551"/>
    <w:rsid w:val="00BE25E7"/>
    <w:rsid w:val="00BE2A99"/>
    <w:rsid w:val="00BE393F"/>
    <w:rsid w:val="00BE49BB"/>
    <w:rsid w:val="00BE4CBB"/>
    <w:rsid w:val="00BE5DAA"/>
    <w:rsid w:val="00BE6235"/>
    <w:rsid w:val="00BE684D"/>
    <w:rsid w:val="00BE759A"/>
    <w:rsid w:val="00BF08C0"/>
    <w:rsid w:val="00BF0D60"/>
    <w:rsid w:val="00BF13BC"/>
    <w:rsid w:val="00BF2435"/>
    <w:rsid w:val="00BF3AB7"/>
    <w:rsid w:val="00BF3E9E"/>
    <w:rsid w:val="00BF44EB"/>
    <w:rsid w:val="00BF4D33"/>
    <w:rsid w:val="00BF4E36"/>
    <w:rsid w:val="00BF501F"/>
    <w:rsid w:val="00BF58B7"/>
    <w:rsid w:val="00BF5BB0"/>
    <w:rsid w:val="00BF5D83"/>
    <w:rsid w:val="00BF61E8"/>
    <w:rsid w:val="00BF6AED"/>
    <w:rsid w:val="00C016ED"/>
    <w:rsid w:val="00C01C25"/>
    <w:rsid w:val="00C01F50"/>
    <w:rsid w:val="00C01FA0"/>
    <w:rsid w:val="00C023A9"/>
    <w:rsid w:val="00C02930"/>
    <w:rsid w:val="00C02979"/>
    <w:rsid w:val="00C032FE"/>
    <w:rsid w:val="00C04136"/>
    <w:rsid w:val="00C0484F"/>
    <w:rsid w:val="00C04C19"/>
    <w:rsid w:val="00C06C27"/>
    <w:rsid w:val="00C06ED1"/>
    <w:rsid w:val="00C07359"/>
    <w:rsid w:val="00C07957"/>
    <w:rsid w:val="00C10081"/>
    <w:rsid w:val="00C116E0"/>
    <w:rsid w:val="00C11B69"/>
    <w:rsid w:val="00C11E70"/>
    <w:rsid w:val="00C121FF"/>
    <w:rsid w:val="00C12BC0"/>
    <w:rsid w:val="00C13736"/>
    <w:rsid w:val="00C14385"/>
    <w:rsid w:val="00C15700"/>
    <w:rsid w:val="00C15B69"/>
    <w:rsid w:val="00C15DF4"/>
    <w:rsid w:val="00C1636B"/>
    <w:rsid w:val="00C16824"/>
    <w:rsid w:val="00C16C2B"/>
    <w:rsid w:val="00C16E26"/>
    <w:rsid w:val="00C17621"/>
    <w:rsid w:val="00C17A7E"/>
    <w:rsid w:val="00C17B9C"/>
    <w:rsid w:val="00C17C28"/>
    <w:rsid w:val="00C17D59"/>
    <w:rsid w:val="00C216B2"/>
    <w:rsid w:val="00C218D9"/>
    <w:rsid w:val="00C21951"/>
    <w:rsid w:val="00C21C34"/>
    <w:rsid w:val="00C21D59"/>
    <w:rsid w:val="00C23472"/>
    <w:rsid w:val="00C2438A"/>
    <w:rsid w:val="00C24461"/>
    <w:rsid w:val="00C262D9"/>
    <w:rsid w:val="00C2654E"/>
    <w:rsid w:val="00C2694A"/>
    <w:rsid w:val="00C30060"/>
    <w:rsid w:val="00C304F2"/>
    <w:rsid w:val="00C30BF6"/>
    <w:rsid w:val="00C30D4B"/>
    <w:rsid w:val="00C31FC1"/>
    <w:rsid w:val="00C32D70"/>
    <w:rsid w:val="00C34BA0"/>
    <w:rsid w:val="00C35212"/>
    <w:rsid w:val="00C35B06"/>
    <w:rsid w:val="00C35B6B"/>
    <w:rsid w:val="00C361E9"/>
    <w:rsid w:val="00C36357"/>
    <w:rsid w:val="00C3658B"/>
    <w:rsid w:val="00C40A9A"/>
    <w:rsid w:val="00C40FE0"/>
    <w:rsid w:val="00C42F21"/>
    <w:rsid w:val="00C431E3"/>
    <w:rsid w:val="00C456E7"/>
    <w:rsid w:val="00C46185"/>
    <w:rsid w:val="00C47E21"/>
    <w:rsid w:val="00C47F28"/>
    <w:rsid w:val="00C50623"/>
    <w:rsid w:val="00C50752"/>
    <w:rsid w:val="00C507C7"/>
    <w:rsid w:val="00C50E33"/>
    <w:rsid w:val="00C55023"/>
    <w:rsid w:val="00C55735"/>
    <w:rsid w:val="00C55F89"/>
    <w:rsid w:val="00C57671"/>
    <w:rsid w:val="00C57D0F"/>
    <w:rsid w:val="00C60C37"/>
    <w:rsid w:val="00C622A1"/>
    <w:rsid w:val="00C62567"/>
    <w:rsid w:val="00C628D1"/>
    <w:rsid w:val="00C631E5"/>
    <w:rsid w:val="00C6334B"/>
    <w:rsid w:val="00C63825"/>
    <w:rsid w:val="00C65487"/>
    <w:rsid w:val="00C65AD4"/>
    <w:rsid w:val="00C66081"/>
    <w:rsid w:val="00C663C8"/>
    <w:rsid w:val="00C66C0F"/>
    <w:rsid w:val="00C705CA"/>
    <w:rsid w:val="00C70EE5"/>
    <w:rsid w:val="00C7186E"/>
    <w:rsid w:val="00C71AB8"/>
    <w:rsid w:val="00C7223C"/>
    <w:rsid w:val="00C72282"/>
    <w:rsid w:val="00C731D2"/>
    <w:rsid w:val="00C73A41"/>
    <w:rsid w:val="00C7416E"/>
    <w:rsid w:val="00C74E2B"/>
    <w:rsid w:val="00C7509E"/>
    <w:rsid w:val="00C76D5C"/>
    <w:rsid w:val="00C76F8A"/>
    <w:rsid w:val="00C81858"/>
    <w:rsid w:val="00C81B4E"/>
    <w:rsid w:val="00C81F37"/>
    <w:rsid w:val="00C823AC"/>
    <w:rsid w:val="00C82891"/>
    <w:rsid w:val="00C82948"/>
    <w:rsid w:val="00C8420D"/>
    <w:rsid w:val="00C845AC"/>
    <w:rsid w:val="00C85732"/>
    <w:rsid w:val="00C85A85"/>
    <w:rsid w:val="00C85BA8"/>
    <w:rsid w:val="00C85C3B"/>
    <w:rsid w:val="00C8702E"/>
    <w:rsid w:val="00C87376"/>
    <w:rsid w:val="00C87B8B"/>
    <w:rsid w:val="00C87FF4"/>
    <w:rsid w:val="00C902EB"/>
    <w:rsid w:val="00C9179D"/>
    <w:rsid w:val="00C9226A"/>
    <w:rsid w:val="00C9263D"/>
    <w:rsid w:val="00C931C9"/>
    <w:rsid w:val="00C93867"/>
    <w:rsid w:val="00C96325"/>
    <w:rsid w:val="00C97524"/>
    <w:rsid w:val="00C976AA"/>
    <w:rsid w:val="00C97993"/>
    <w:rsid w:val="00CA000A"/>
    <w:rsid w:val="00CA0579"/>
    <w:rsid w:val="00CA1545"/>
    <w:rsid w:val="00CA1CDA"/>
    <w:rsid w:val="00CA4811"/>
    <w:rsid w:val="00CA4B6F"/>
    <w:rsid w:val="00CA5D21"/>
    <w:rsid w:val="00CA6C99"/>
    <w:rsid w:val="00CA7A8D"/>
    <w:rsid w:val="00CA7C50"/>
    <w:rsid w:val="00CB0626"/>
    <w:rsid w:val="00CB133E"/>
    <w:rsid w:val="00CB1375"/>
    <w:rsid w:val="00CB1A19"/>
    <w:rsid w:val="00CB1C9A"/>
    <w:rsid w:val="00CB2A52"/>
    <w:rsid w:val="00CB38CA"/>
    <w:rsid w:val="00CB402C"/>
    <w:rsid w:val="00CB4528"/>
    <w:rsid w:val="00CB5A3C"/>
    <w:rsid w:val="00CB5EC1"/>
    <w:rsid w:val="00CB6B68"/>
    <w:rsid w:val="00CC07DF"/>
    <w:rsid w:val="00CC0FB9"/>
    <w:rsid w:val="00CC2F0E"/>
    <w:rsid w:val="00CC3C63"/>
    <w:rsid w:val="00CC47D0"/>
    <w:rsid w:val="00CC5174"/>
    <w:rsid w:val="00CC6220"/>
    <w:rsid w:val="00CC64D3"/>
    <w:rsid w:val="00CC72F6"/>
    <w:rsid w:val="00CC7748"/>
    <w:rsid w:val="00CC785A"/>
    <w:rsid w:val="00CD1AED"/>
    <w:rsid w:val="00CD23BB"/>
    <w:rsid w:val="00CD2979"/>
    <w:rsid w:val="00CD2AAF"/>
    <w:rsid w:val="00CD2C15"/>
    <w:rsid w:val="00CD3C90"/>
    <w:rsid w:val="00CD4DD6"/>
    <w:rsid w:val="00CD4F44"/>
    <w:rsid w:val="00CD692A"/>
    <w:rsid w:val="00CD6A20"/>
    <w:rsid w:val="00CD73B9"/>
    <w:rsid w:val="00CD7400"/>
    <w:rsid w:val="00CE02A8"/>
    <w:rsid w:val="00CE08B7"/>
    <w:rsid w:val="00CE0BA2"/>
    <w:rsid w:val="00CE2305"/>
    <w:rsid w:val="00CE349B"/>
    <w:rsid w:val="00CE376B"/>
    <w:rsid w:val="00CE3C19"/>
    <w:rsid w:val="00CE3EEE"/>
    <w:rsid w:val="00CE4D32"/>
    <w:rsid w:val="00CE4DA9"/>
    <w:rsid w:val="00CE5C81"/>
    <w:rsid w:val="00CE7741"/>
    <w:rsid w:val="00CF02BF"/>
    <w:rsid w:val="00CF1A2B"/>
    <w:rsid w:val="00CF21D0"/>
    <w:rsid w:val="00CF26B1"/>
    <w:rsid w:val="00CF2718"/>
    <w:rsid w:val="00CF2803"/>
    <w:rsid w:val="00CF33D2"/>
    <w:rsid w:val="00CF5CC4"/>
    <w:rsid w:val="00CF62D1"/>
    <w:rsid w:val="00CF6B78"/>
    <w:rsid w:val="00CF6CEB"/>
    <w:rsid w:val="00CF7EDF"/>
    <w:rsid w:val="00D004EF"/>
    <w:rsid w:val="00D00C41"/>
    <w:rsid w:val="00D0335A"/>
    <w:rsid w:val="00D039F7"/>
    <w:rsid w:val="00D03EB9"/>
    <w:rsid w:val="00D03F7B"/>
    <w:rsid w:val="00D04E05"/>
    <w:rsid w:val="00D0544C"/>
    <w:rsid w:val="00D05999"/>
    <w:rsid w:val="00D05A90"/>
    <w:rsid w:val="00D05B8A"/>
    <w:rsid w:val="00D063BD"/>
    <w:rsid w:val="00D07D5E"/>
    <w:rsid w:val="00D07E60"/>
    <w:rsid w:val="00D106DB"/>
    <w:rsid w:val="00D112DF"/>
    <w:rsid w:val="00D11768"/>
    <w:rsid w:val="00D12466"/>
    <w:rsid w:val="00D12B29"/>
    <w:rsid w:val="00D1327F"/>
    <w:rsid w:val="00D14A8D"/>
    <w:rsid w:val="00D14B24"/>
    <w:rsid w:val="00D15537"/>
    <w:rsid w:val="00D15B1A"/>
    <w:rsid w:val="00D15E00"/>
    <w:rsid w:val="00D162D1"/>
    <w:rsid w:val="00D1684B"/>
    <w:rsid w:val="00D16F16"/>
    <w:rsid w:val="00D17167"/>
    <w:rsid w:val="00D1771D"/>
    <w:rsid w:val="00D202E5"/>
    <w:rsid w:val="00D20C70"/>
    <w:rsid w:val="00D20FA0"/>
    <w:rsid w:val="00D214B3"/>
    <w:rsid w:val="00D227D8"/>
    <w:rsid w:val="00D236AB"/>
    <w:rsid w:val="00D2401F"/>
    <w:rsid w:val="00D24237"/>
    <w:rsid w:val="00D25246"/>
    <w:rsid w:val="00D252E4"/>
    <w:rsid w:val="00D255C4"/>
    <w:rsid w:val="00D25E51"/>
    <w:rsid w:val="00D2628F"/>
    <w:rsid w:val="00D26ED4"/>
    <w:rsid w:val="00D27B11"/>
    <w:rsid w:val="00D32B3B"/>
    <w:rsid w:val="00D337FB"/>
    <w:rsid w:val="00D33F8F"/>
    <w:rsid w:val="00D3410E"/>
    <w:rsid w:val="00D3495A"/>
    <w:rsid w:val="00D34F6F"/>
    <w:rsid w:val="00D351F3"/>
    <w:rsid w:val="00D35608"/>
    <w:rsid w:val="00D35EFB"/>
    <w:rsid w:val="00D3629C"/>
    <w:rsid w:val="00D36500"/>
    <w:rsid w:val="00D374BE"/>
    <w:rsid w:val="00D375D5"/>
    <w:rsid w:val="00D3788E"/>
    <w:rsid w:val="00D37D87"/>
    <w:rsid w:val="00D4006C"/>
    <w:rsid w:val="00D41466"/>
    <w:rsid w:val="00D41D60"/>
    <w:rsid w:val="00D43131"/>
    <w:rsid w:val="00D44BF5"/>
    <w:rsid w:val="00D44E07"/>
    <w:rsid w:val="00D45956"/>
    <w:rsid w:val="00D45BB5"/>
    <w:rsid w:val="00D46831"/>
    <w:rsid w:val="00D47F13"/>
    <w:rsid w:val="00D50D8C"/>
    <w:rsid w:val="00D50E20"/>
    <w:rsid w:val="00D516C5"/>
    <w:rsid w:val="00D51747"/>
    <w:rsid w:val="00D51E0A"/>
    <w:rsid w:val="00D51E53"/>
    <w:rsid w:val="00D51EA1"/>
    <w:rsid w:val="00D52EB8"/>
    <w:rsid w:val="00D5322C"/>
    <w:rsid w:val="00D53852"/>
    <w:rsid w:val="00D53BCE"/>
    <w:rsid w:val="00D54A6F"/>
    <w:rsid w:val="00D54BB1"/>
    <w:rsid w:val="00D54D24"/>
    <w:rsid w:val="00D55100"/>
    <w:rsid w:val="00D55461"/>
    <w:rsid w:val="00D56AA2"/>
    <w:rsid w:val="00D57221"/>
    <w:rsid w:val="00D5737B"/>
    <w:rsid w:val="00D573FE"/>
    <w:rsid w:val="00D60003"/>
    <w:rsid w:val="00D60381"/>
    <w:rsid w:val="00D60841"/>
    <w:rsid w:val="00D62975"/>
    <w:rsid w:val="00D642B5"/>
    <w:rsid w:val="00D6478B"/>
    <w:rsid w:val="00D64973"/>
    <w:rsid w:val="00D6624D"/>
    <w:rsid w:val="00D6727E"/>
    <w:rsid w:val="00D67F00"/>
    <w:rsid w:val="00D70049"/>
    <w:rsid w:val="00D70D42"/>
    <w:rsid w:val="00D717BF"/>
    <w:rsid w:val="00D72A37"/>
    <w:rsid w:val="00D731C7"/>
    <w:rsid w:val="00D73717"/>
    <w:rsid w:val="00D74497"/>
    <w:rsid w:val="00D749EC"/>
    <w:rsid w:val="00D74E7F"/>
    <w:rsid w:val="00D754D8"/>
    <w:rsid w:val="00D75806"/>
    <w:rsid w:val="00D759A1"/>
    <w:rsid w:val="00D76743"/>
    <w:rsid w:val="00D80202"/>
    <w:rsid w:val="00D815A9"/>
    <w:rsid w:val="00D81C22"/>
    <w:rsid w:val="00D81E71"/>
    <w:rsid w:val="00D83BF5"/>
    <w:rsid w:val="00D83CC9"/>
    <w:rsid w:val="00D83FEB"/>
    <w:rsid w:val="00D8529A"/>
    <w:rsid w:val="00D86E7B"/>
    <w:rsid w:val="00D87673"/>
    <w:rsid w:val="00D912E7"/>
    <w:rsid w:val="00D91426"/>
    <w:rsid w:val="00D91FC1"/>
    <w:rsid w:val="00D92468"/>
    <w:rsid w:val="00D925E1"/>
    <w:rsid w:val="00D9327E"/>
    <w:rsid w:val="00D93E64"/>
    <w:rsid w:val="00D942AD"/>
    <w:rsid w:val="00D95C2E"/>
    <w:rsid w:val="00D969CE"/>
    <w:rsid w:val="00D96DC7"/>
    <w:rsid w:val="00D978D9"/>
    <w:rsid w:val="00DA0709"/>
    <w:rsid w:val="00DA2757"/>
    <w:rsid w:val="00DA39A4"/>
    <w:rsid w:val="00DA3E37"/>
    <w:rsid w:val="00DA544B"/>
    <w:rsid w:val="00DA56C7"/>
    <w:rsid w:val="00DA7064"/>
    <w:rsid w:val="00DA7DE0"/>
    <w:rsid w:val="00DB09C7"/>
    <w:rsid w:val="00DB0F21"/>
    <w:rsid w:val="00DB1682"/>
    <w:rsid w:val="00DB1AD1"/>
    <w:rsid w:val="00DB3790"/>
    <w:rsid w:val="00DB4330"/>
    <w:rsid w:val="00DB5F33"/>
    <w:rsid w:val="00DB6CC8"/>
    <w:rsid w:val="00DB6E8D"/>
    <w:rsid w:val="00DB7369"/>
    <w:rsid w:val="00DB74F0"/>
    <w:rsid w:val="00DB7DB3"/>
    <w:rsid w:val="00DB7F04"/>
    <w:rsid w:val="00DC022A"/>
    <w:rsid w:val="00DC07E7"/>
    <w:rsid w:val="00DC0FAE"/>
    <w:rsid w:val="00DC1407"/>
    <w:rsid w:val="00DC1B1F"/>
    <w:rsid w:val="00DC284D"/>
    <w:rsid w:val="00DC3293"/>
    <w:rsid w:val="00DC39F5"/>
    <w:rsid w:val="00DC3C3F"/>
    <w:rsid w:val="00DC4034"/>
    <w:rsid w:val="00DC45BD"/>
    <w:rsid w:val="00DC4607"/>
    <w:rsid w:val="00DC5C17"/>
    <w:rsid w:val="00DC6A1C"/>
    <w:rsid w:val="00DC6A55"/>
    <w:rsid w:val="00DC6AFF"/>
    <w:rsid w:val="00DC6B24"/>
    <w:rsid w:val="00DC7A4D"/>
    <w:rsid w:val="00DD0911"/>
    <w:rsid w:val="00DD0F6B"/>
    <w:rsid w:val="00DD2723"/>
    <w:rsid w:val="00DD27DB"/>
    <w:rsid w:val="00DD2C36"/>
    <w:rsid w:val="00DD33D2"/>
    <w:rsid w:val="00DD3F1B"/>
    <w:rsid w:val="00DD44A0"/>
    <w:rsid w:val="00DD48F6"/>
    <w:rsid w:val="00DD4950"/>
    <w:rsid w:val="00DD5060"/>
    <w:rsid w:val="00DD5162"/>
    <w:rsid w:val="00DD575F"/>
    <w:rsid w:val="00DD6BCB"/>
    <w:rsid w:val="00DE0EFB"/>
    <w:rsid w:val="00DE0F32"/>
    <w:rsid w:val="00DE1E1E"/>
    <w:rsid w:val="00DE2156"/>
    <w:rsid w:val="00DE2323"/>
    <w:rsid w:val="00DE3444"/>
    <w:rsid w:val="00DE4CA5"/>
    <w:rsid w:val="00DE5480"/>
    <w:rsid w:val="00DE5955"/>
    <w:rsid w:val="00DE5C50"/>
    <w:rsid w:val="00DE66FB"/>
    <w:rsid w:val="00DE6A2D"/>
    <w:rsid w:val="00DE6AB1"/>
    <w:rsid w:val="00DE7345"/>
    <w:rsid w:val="00DE7BD8"/>
    <w:rsid w:val="00DE7C68"/>
    <w:rsid w:val="00DF0047"/>
    <w:rsid w:val="00DF0129"/>
    <w:rsid w:val="00DF07C8"/>
    <w:rsid w:val="00DF2096"/>
    <w:rsid w:val="00DF301A"/>
    <w:rsid w:val="00DF30DC"/>
    <w:rsid w:val="00DF3324"/>
    <w:rsid w:val="00DF4711"/>
    <w:rsid w:val="00DF4F67"/>
    <w:rsid w:val="00DF5A3B"/>
    <w:rsid w:val="00DF62D7"/>
    <w:rsid w:val="00DF6FA9"/>
    <w:rsid w:val="00DF7858"/>
    <w:rsid w:val="00DF7D15"/>
    <w:rsid w:val="00DF7F07"/>
    <w:rsid w:val="00E0038F"/>
    <w:rsid w:val="00E01782"/>
    <w:rsid w:val="00E02E9A"/>
    <w:rsid w:val="00E0417C"/>
    <w:rsid w:val="00E0464D"/>
    <w:rsid w:val="00E06874"/>
    <w:rsid w:val="00E07428"/>
    <w:rsid w:val="00E106DA"/>
    <w:rsid w:val="00E11409"/>
    <w:rsid w:val="00E118D4"/>
    <w:rsid w:val="00E11DAD"/>
    <w:rsid w:val="00E12D08"/>
    <w:rsid w:val="00E130C6"/>
    <w:rsid w:val="00E15BA4"/>
    <w:rsid w:val="00E165CD"/>
    <w:rsid w:val="00E16DA8"/>
    <w:rsid w:val="00E16EF2"/>
    <w:rsid w:val="00E16FB4"/>
    <w:rsid w:val="00E17824"/>
    <w:rsid w:val="00E20874"/>
    <w:rsid w:val="00E217DA"/>
    <w:rsid w:val="00E2195A"/>
    <w:rsid w:val="00E22454"/>
    <w:rsid w:val="00E22492"/>
    <w:rsid w:val="00E22DB6"/>
    <w:rsid w:val="00E22E7D"/>
    <w:rsid w:val="00E2303B"/>
    <w:rsid w:val="00E24A80"/>
    <w:rsid w:val="00E25054"/>
    <w:rsid w:val="00E2655B"/>
    <w:rsid w:val="00E270A2"/>
    <w:rsid w:val="00E272EE"/>
    <w:rsid w:val="00E2783E"/>
    <w:rsid w:val="00E30807"/>
    <w:rsid w:val="00E31616"/>
    <w:rsid w:val="00E31A55"/>
    <w:rsid w:val="00E31EED"/>
    <w:rsid w:val="00E31F0A"/>
    <w:rsid w:val="00E33312"/>
    <w:rsid w:val="00E33727"/>
    <w:rsid w:val="00E33ADD"/>
    <w:rsid w:val="00E33BB7"/>
    <w:rsid w:val="00E34856"/>
    <w:rsid w:val="00E3508F"/>
    <w:rsid w:val="00E36FE9"/>
    <w:rsid w:val="00E37461"/>
    <w:rsid w:val="00E37FBE"/>
    <w:rsid w:val="00E408BF"/>
    <w:rsid w:val="00E41E80"/>
    <w:rsid w:val="00E42322"/>
    <w:rsid w:val="00E42CBF"/>
    <w:rsid w:val="00E4363B"/>
    <w:rsid w:val="00E44145"/>
    <w:rsid w:val="00E44B9B"/>
    <w:rsid w:val="00E44FF0"/>
    <w:rsid w:val="00E45B3E"/>
    <w:rsid w:val="00E45D50"/>
    <w:rsid w:val="00E46487"/>
    <w:rsid w:val="00E464E8"/>
    <w:rsid w:val="00E46B20"/>
    <w:rsid w:val="00E46DBF"/>
    <w:rsid w:val="00E46E23"/>
    <w:rsid w:val="00E47E51"/>
    <w:rsid w:val="00E503A1"/>
    <w:rsid w:val="00E512EA"/>
    <w:rsid w:val="00E51AFB"/>
    <w:rsid w:val="00E525E4"/>
    <w:rsid w:val="00E52F91"/>
    <w:rsid w:val="00E533BC"/>
    <w:rsid w:val="00E54843"/>
    <w:rsid w:val="00E55461"/>
    <w:rsid w:val="00E55547"/>
    <w:rsid w:val="00E56BD9"/>
    <w:rsid w:val="00E5736B"/>
    <w:rsid w:val="00E578F7"/>
    <w:rsid w:val="00E57BC5"/>
    <w:rsid w:val="00E57E08"/>
    <w:rsid w:val="00E60319"/>
    <w:rsid w:val="00E60CC4"/>
    <w:rsid w:val="00E620AC"/>
    <w:rsid w:val="00E6385A"/>
    <w:rsid w:val="00E64411"/>
    <w:rsid w:val="00E64EFF"/>
    <w:rsid w:val="00E65AEB"/>
    <w:rsid w:val="00E65D67"/>
    <w:rsid w:val="00E661E7"/>
    <w:rsid w:val="00E6620F"/>
    <w:rsid w:val="00E66E30"/>
    <w:rsid w:val="00E66FB5"/>
    <w:rsid w:val="00E6708C"/>
    <w:rsid w:val="00E71360"/>
    <w:rsid w:val="00E7159E"/>
    <w:rsid w:val="00E72E70"/>
    <w:rsid w:val="00E73DB4"/>
    <w:rsid w:val="00E743D6"/>
    <w:rsid w:val="00E7447D"/>
    <w:rsid w:val="00E74869"/>
    <w:rsid w:val="00E74E6D"/>
    <w:rsid w:val="00E766AF"/>
    <w:rsid w:val="00E76D7A"/>
    <w:rsid w:val="00E76FB6"/>
    <w:rsid w:val="00E77699"/>
    <w:rsid w:val="00E7777D"/>
    <w:rsid w:val="00E77D0F"/>
    <w:rsid w:val="00E8010B"/>
    <w:rsid w:val="00E80A1C"/>
    <w:rsid w:val="00E80C34"/>
    <w:rsid w:val="00E8231C"/>
    <w:rsid w:val="00E82B2C"/>
    <w:rsid w:val="00E84E3F"/>
    <w:rsid w:val="00E85752"/>
    <w:rsid w:val="00E870C3"/>
    <w:rsid w:val="00E87A7E"/>
    <w:rsid w:val="00E90C8B"/>
    <w:rsid w:val="00E90FC4"/>
    <w:rsid w:val="00E912BE"/>
    <w:rsid w:val="00E917FB"/>
    <w:rsid w:val="00E92EA6"/>
    <w:rsid w:val="00E93C43"/>
    <w:rsid w:val="00E941CA"/>
    <w:rsid w:val="00E94887"/>
    <w:rsid w:val="00E94FD5"/>
    <w:rsid w:val="00E96DB4"/>
    <w:rsid w:val="00E97EC6"/>
    <w:rsid w:val="00EA18D4"/>
    <w:rsid w:val="00EA2424"/>
    <w:rsid w:val="00EA259F"/>
    <w:rsid w:val="00EA2A60"/>
    <w:rsid w:val="00EA32A3"/>
    <w:rsid w:val="00EA3581"/>
    <w:rsid w:val="00EA35A9"/>
    <w:rsid w:val="00EA4040"/>
    <w:rsid w:val="00EA411F"/>
    <w:rsid w:val="00EA4664"/>
    <w:rsid w:val="00EA7017"/>
    <w:rsid w:val="00EB0AF1"/>
    <w:rsid w:val="00EB0B03"/>
    <w:rsid w:val="00EB22C3"/>
    <w:rsid w:val="00EB2EA2"/>
    <w:rsid w:val="00EB379B"/>
    <w:rsid w:val="00EB390B"/>
    <w:rsid w:val="00EB3D5E"/>
    <w:rsid w:val="00EB404F"/>
    <w:rsid w:val="00EB41F6"/>
    <w:rsid w:val="00EB5197"/>
    <w:rsid w:val="00EB5485"/>
    <w:rsid w:val="00EB76D2"/>
    <w:rsid w:val="00EC01F4"/>
    <w:rsid w:val="00EC04F8"/>
    <w:rsid w:val="00EC115C"/>
    <w:rsid w:val="00EC1989"/>
    <w:rsid w:val="00EC1A01"/>
    <w:rsid w:val="00EC2273"/>
    <w:rsid w:val="00EC40CC"/>
    <w:rsid w:val="00EC4C8A"/>
    <w:rsid w:val="00EC5400"/>
    <w:rsid w:val="00EC6221"/>
    <w:rsid w:val="00EC6782"/>
    <w:rsid w:val="00EC6FD0"/>
    <w:rsid w:val="00EC71E2"/>
    <w:rsid w:val="00EC759B"/>
    <w:rsid w:val="00EC78EE"/>
    <w:rsid w:val="00ED0928"/>
    <w:rsid w:val="00ED094D"/>
    <w:rsid w:val="00ED0D6D"/>
    <w:rsid w:val="00ED0FBC"/>
    <w:rsid w:val="00ED1767"/>
    <w:rsid w:val="00ED1A81"/>
    <w:rsid w:val="00ED1F35"/>
    <w:rsid w:val="00ED1FAB"/>
    <w:rsid w:val="00ED22D9"/>
    <w:rsid w:val="00ED2B06"/>
    <w:rsid w:val="00ED6379"/>
    <w:rsid w:val="00ED698D"/>
    <w:rsid w:val="00ED7753"/>
    <w:rsid w:val="00ED7A25"/>
    <w:rsid w:val="00ED7F84"/>
    <w:rsid w:val="00EE0301"/>
    <w:rsid w:val="00EE058B"/>
    <w:rsid w:val="00EE2456"/>
    <w:rsid w:val="00EE2D58"/>
    <w:rsid w:val="00EE37FC"/>
    <w:rsid w:val="00EE3C26"/>
    <w:rsid w:val="00EE4A70"/>
    <w:rsid w:val="00EE4D9F"/>
    <w:rsid w:val="00EE4E11"/>
    <w:rsid w:val="00EE5527"/>
    <w:rsid w:val="00EE5DE5"/>
    <w:rsid w:val="00EE5FA9"/>
    <w:rsid w:val="00EE6066"/>
    <w:rsid w:val="00EE6EE5"/>
    <w:rsid w:val="00EE7A82"/>
    <w:rsid w:val="00EE7C6D"/>
    <w:rsid w:val="00EF16F6"/>
    <w:rsid w:val="00EF2350"/>
    <w:rsid w:val="00EF271C"/>
    <w:rsid w:val="00EF2D3F"/>
    <w:rsid w:val="00EF2FF1"/>
    <w:rsid w:val="00EF35DB"/>
    <w:rsid w:val="00EF3AFB"/>
    <w:rsid w:val="00EF4541"/>
    <w:rsid w:val="00EF49BC"/>
    <w:rsid w:val="00EF557F"/>
    <w:rsid w:val="00EF5DAE"/>
    <w:rsid w:val="00EF6ED4"/>
    <w:rsid w:val="00EF72EC"/>
    <w:rsid w:val="00EF7428"/>
    <w:rsid w:val="00F007A3"/>
    <w:rsid w:val="00F00955"/>
    <w:rsid w:val="00F00A8A"/>
    <w:rsid w:val="00F01E27"/>
    <w:rsid w:val="00F02387"/>
    <w:rsid w:val="00F0265F"/>
    <w:rsid w:val="00F02804"/>
    <w:rsid w:val="00F03803"/>
    <w:rsid w:val="00F041F1"/>
    <w:rsid w:val="00F048E2"/>
    <w:rsid w:val="00F05016"/>
    <w:rsid w:val="00F05061"/>
    <w:rsid w:val="00F061F6"/>
    <w:rsid w:val="00F064A3"/>
    <w:rsid w:val="00F07446"/>
    <w:rsid w:val="00F10277"/>
    <w:rsid w:val="00F10295"/>
    <w:rsid w:val="00F10A61"/>
    <w:rsid w:val="00F117F0"/>
    <w:rsid w:val="00F11B53"/>
    <w:rsid w:val="00F12D7C"/>
    <w:rsid w:val="00F13077"/>
    <w:rsid w:val="00F14479"/>
    <w:rsid w:val="00F15417"/>
    <w:rsid w:val="00F15BDA"/>
    <w:rsid w:val="00F15BED"/>
    <w:rsid w:val="00F1600E"/>
    <w:rsid w:val="00F165FC"/>
    <w:rsid w:val="00F20285"/>
    <w:rsid w:val="00F20701"/>
    <w:rsid w:val="00F20EA4"/>
    <w:rsid w:val="00F20F78"/>
    <w:rsid w:val="00F239A1"/>
    <w:rsid w:val="00F241E7"/>
    <w:rsid w:val="00F25776"/>
    <w:rsid w:val="00F26024"/>
    <w:rsid w:val="00F26067"/>
    <w:rsid w:val="00F2766A"/>
    <w:rsid w:val="00F30725"/>
    <w:rsid w:val="00F314BE"/>
    <w:rsid w:val="00F31D18"/>
    <w:rsid w:val="00F32017"/>
    <w:rsid w:val="00F3202B"/>
    <w:rsid w:val="00F34B5A"/>
    <w:rsid w:val="00F350B0"/>
    <w:rsid w:val="00F35205"/>
    <w:rsid w:val="00F35227"/>
    <w:rsid w:val="00F356DA"/>
    <w:rsid w:val="00F3734B"/>
    <w:rsid w:val="00F37650"/>
    <w:rsid w:val="00F37686"/>
    <w:rsid w:val="00F379B5"/>
    <w:rsid w:val="00F402B8"/>
    <w:rsid w:val="00F40524"/>
    <w:rsid w:val="00F405A8"/>
    <w:rsid w:val="00F40CF5"/>
    <w:rsid w:val="00F411E2"/>
    <w:rsid w:val="00F41972"/>
    <w:rsid w:val="00F43010"/>
    <w:rsid w:val="00F4667A"/>
    <w:rsid w:val="00F476FC"/>
    <w:rsid w:val="00F5023E"/>
    <w:rsid w:val="00F5094B"/>
    <w:rsid w:val="00F50977"/>
    <w:rsid w:val="00F50C12"/>
    <w:rsid w:val="00F50DE8"/>
    <w:rsid w:val="00F511E8"/>
    <w:rsid w:val="00F5150F"/>
    <w:rsid w:val="00F52174"/>
    <w:rsid w:val="00F53289"/>
    <w:rsid w:val="00F532CD"/>
    <w:rsid w:val="00F54090"/>
    <w:rsid w:val="00F5443B"/>
    <w:rsid w:val="00F548BE"/>
    <w:rsid w:val="00F55160"/>
    <w:rsid w:val="00F55422"/>
    <w:rsid w:val="00F55425"/>
    <w:rsid w:val="00F55EEB"/>
    <w:rsid w:val="00F564C6"/>
    <w:rsid w:val="00F5681F"/>
    <w:rsid w:val="00F56A01"/>
    <w:rsid w:val="00F56A05"/>
    <w:rsid w:val="00F57E9F"/>
    <w:rsid w:val="00F602D4"/>
    <w:rsid w:val="00F6210D"/>
    <w:rsid w:val="00F629FF"/>
    <w:rsid w:val="00F6489E"/>
    <w:rsid w:val="00F652BE"/>
    <w:rsid w:val="00F6534E"/>
    <w:rsid w:val="00F661B0"/>
    <w:rsid w:val="00F663B7"/>
    <w:rsid w:val="00F66EEC"/>
    <w:rsid w:val="00F6763E"/>
    <w:rsid w:val="00F67D7E"/>
    <w:rsid w:val="00F70AE5"/>
    <w:rsid w:val="00F70C45"/>
    <w:rsid w:val="00F71B62"/>
    <w:rsid w:val="00F7216B"/>
    <w:rsid w:val="00F723EF"/>
    <w:rsid w:val="00F7266E"/>
    <w:rsid w:val="00F72731"/>
    <w:rsid w:val="00F72BBD"/>
    <w:rsid w:val="00F72DEC"/>
    <w:rsid w:val="00F72EEC"/>
    <w:rsid w:val="00F737FD"/>
    <w:rsid w:val="00F73E66"/>
    <w:rsid w:val="00F744AE"/>
    <w:rsid w:val="00F75642"/>
    <w:rsid w:val="00F7611B"/>
    <w:rsid w:val="00F76173"/>
    <w:rsid w:val="00F761E1"/>
    <w:rsid w:val="00F76839"/>
    <w:rsid w:val="00F77D33"/>
    <w:rsid w:val="00F77E65"/>
    <w:rsid w:val="00F808BB"/>
    <w:rsid w:val="00F809B2"/>
    <w:rsid w:val="00F81219"/>
    <w:rsid w:val="00F812B6"/>
    <w:rsid w:val="00F81488"/>
    <w:rsid w:val="00F819AC"/>
    <w:rsid w:val="00F856C4"/>
    <w:rsid w:val="00F85A64"/>
    <w:rsid w:val="00F85AA9"/>
    <w:rsid w:val="00F85EDF"/>
    <w:rsid w:val="00F86901"/>
    <w:rsid w:val="00F86968"/>
    <w:rsid w:val="00F86977"/>
    <w:rsid w:val="00F90369"/>
    <w:rsid w:val="00F90481"/>
    <w:rsid w:val="00F91752"/>
    <w:rsid w:val="00F918F6"/>
    <w:rsid w:val="00F91D7C"/>
    <w:rsid w:val="00F92100"/>
    <w:rsid w:val="00F92D00"/>
    <w:rsid w:val="00F932CA"/>
    <w:rsid w:val="00F933E2"/>
    <w:rsid w:val="00F93B41"/>
    <w:rsid w:val="00F94284"/>
    <w:rsid w:val="00F942B9"/>
    <w:rsid w:val="00F943E7"/>
    <w:rsid w:val="00F9549A"/>
    <w:rsid w:val="00F97A6A"/>
    <w:rsid w:val="00FA0318"/>
    <w:rsid w:val="00FA1134"/>
    <w:rsid w:val="00FA197F"/>
    <w:rsid w:val="00FA1C9D"/>
    <w:rsid w:val="00FA1ECD"/>
    <w:rsid w:val="00FA2205"/>
    <w:rsid w:val="00FA2AF6"/>
    <w:rsid w:val="00FA3420"/>
    <w:rsid w:val="00FA3BD5"/>
    <w:rsid w:val="00FA4EC3"/>
    <w:rsid w:val="00FA6561"/>
    <w:rsid w:val="00FA6D63"/>
    <w:rsid w:val="00FA7EA6"/>
    <w:rsid w:val="00FB17D3"/>
    <w:rsid w:val="00FB2759"/>
    <w:rsid w:val="00FB2A51"/>
    <w:rsid w:val="00FB353B"/>
    <w:rsid w:val="00FB3827"/>
    <w:rsid w:val="00FB4340"/>
    <w:rsid w:val="00FB4B05"/>
    <w:rsid w:val="00FB651F"/>
    <w:rsid w:val="00FB7027"/>
    <w:rsid w:val="00FB77B1"/>
    <w:rsid w:val="00FB798D"/>
    <w:rsid w:val="00FB7AC9"/>
    <w:rsid w:val="00FC0A5B"/>
    <w:rsid w:val="00FC0E50"/>
    <w:rsid w:val="00FC0EB5"/>
    <w:rsid w:val="00FC1CA0"/>
    <w:rsid w:val="00FC1D19"/>
    <w:rsid w:val="00FC2D7D"/>
    <w:rsid w:val="00FC34B2"/>
    <w:rsid w:val="00FC3561"/>
    <w:rsid w:val="00FC4333"/>
    <w:rsid w:val="00FC459A"/>
    <w:rsid w:val="00FC475E"/>
    <w:rsid w:val="00FC5029"/>
    <w:rsid w:val="00FC5935"/>
    <w:rsid w:val="00FC5A5A"/>
    <w:rsid w:val="00FC627B"/>
    <w:rsid w:val="00FC7ADB"/>
    <w:rsid w:val="00FC7C88"/>
    <w:rsid w:val="00FD07D1"/>
    <w:rsid w:val="00FD0A6F"/>
    <w:rsid w:val="00FD1BE9"/>
    <w:rsid w:val="00FD2567"/>
    <w:rsid w:val="00FD38C2"/>
    <w:rsid w:val="00FD3972"/>
    <w:rsid w:val="00FD39EF"/>
    <w:rsid w:val="00FD482B"/>
    <w:rsid w:val="00FD53D1"/>
    <w:rsid w:val="00FD68FB"/>
    <w:rsid w:val="00FD6CA3"/>
    <w:rsid w:val="00FD7018"/>
    <w:rsid w:val="00FD712C"/>
    <w:rsid w:val="00FE001B"/>
    <w:rsid w:val="00FE0909"/>
    <w:rsid w:val="00FE1698"/>
    <w:rsid w:val="00FE1862"/>
    <w:rsid w:val="00FE2273"/>
    <w:rsid w:val="00FE2487"/>
    <w:rsid w:val="00FE27A9"/>
    <w:rsid w:val="00FE3075"/>
    <w:rsid w:val="00FE37FA"/>
    <w:rsid w:val="00FE40D8"/>
    <w:rsid w:val="00FE448E"/>
    <w:rsid w:val="00FE62EB"/>
    <w:rsid w:val="00FE76DD"/>
    <w:rsid w:val="00FF06C0"/>
    <w:rsid w:val="00FF102B"/>
    <w:rsid w:val="00FF229F"/>
    <w:rsid w:val="00FF2417"/>
    <w:rsid w:val="00FF25D7"/>
    <w:rsid w:val="00FF27D6"/>
    <w:rsid w:val="00FF36B6"/>
    <w:rsid w:val="00FF4093"/>
    <w:rsid w:val="00FF4113"/>
    <w:rsid w:val="00FF44EC"/>
    <w:rsid w:val="00FF52DC"/>
    <w:rsid w:val="00FF5C1A"/>
    <w:rsid w:val="00FF6E34"/>
    <w:rsid w:val="00FF7214"/>
    <w:rsid w:val="00FF72AA"/>
    <w:rsid w:val="00FF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30DB5"/>
  <w15:chartTrackingRefBased/>
  <w15:docId w15:val="{DF68BB8C-3D95-42CD-8B43-02ED502F3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F81"/>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C759B"/>
    <w:pPr>
      <w:keepNext/>
      <w:keepLines/>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34F6F"/>
    <w:pPr>
      <w:outlineLvl w:val="1"/>
    </w:pPr>
    <w:rPr>
      <w:b/>
      <w:i/>
      <w:iCs/>
    </w:rPr>
  </w:style>
  <w:style w:type="paragraph" w:styleId="Heading3">
    <w:name w:val="heading 3"/>
    <w:basedOn w:val="Heading2"/>
    <w:next w:val="Normal"/>
    <w:link w:val="Heading3Char"/>
    <w:uiPriority w:val="9"/>
    <w:unhideWhenUsed/>
    <w:qFormat/>
    <w:rsid w:val="005F5DD4"/>
    <w:pPr>
      <w:outlineLvl w:val="2"/>
    </w:pPr>
    <w:rPr>
      <w:b w:val="0"/>
      <w:bCs/>
    </w:rPr>
  </w:style>
  <w:style w:type="paragraph" w:styleId="Heading4">
    <w:name w:val="heading 4"/>
    <w:basedOn w:val="Normal"/>
    <w:next w:val="Normal"/>
    <w:link w:val="Heading4Char"/>
    <w:uiPriority w:val="9"/>
    <w:semiHidden/>
    <w:unhideWhenUsed/>
    <w:qFormat/>
    <w:rsid w:val="00165ACC"/>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5ACC"/>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65AC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65AC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65AC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5AC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A37"/>
    <w:rPr>
      <w:rFonts w:ascii="Times New Roman" w:eastAsiaTheme="majorEastAsia" w:hAnsi="Times New Roman" w:cstheme="majorBidi"/>
      <w:b/>
      <w:sz w:val="24"/>
      <w:szCs w:val="32"/>
    </w:rPr>
  </w:style>
  <w:style w:type="character" w:styleId="CommentReference">
    <w:name w:val="annotation reference"/>
    <w:basedOn w:val="DefaultParagraphFont"/>
    <w:uiPriority w:val="99"/>
    <w:semiHidden/>
    <w:unhideWhenUsed/>
    <w:rsid w:val="00930BEB"/>
    <w:rPr>
      <w:sz w:val="16"/>
      <w:szCs w:val="16"/>
    </w:rPr>
  </w:style>
  <w:style w:type="paragraph" w:styleId="CommentText">
    <w:name w:val="annotation text"/>
    <w:basedOn w:val="Normal"/>
    <w:link w:val="CommentTextChar"/>
    <w:uiPriority w:val="99"/>
    <w:unhideWhenUsed/>
    <w:rsid w:val="00930BEB"/>
    <w:rPr>
      <w:sz w:val="20"/>
      <w:szCs w:val="20"/>
    </w:rPr>
  </w:style>
  <w:style w:type="character" w:customStyle="1" w:styleId="CommentTextChar">
    <w:name w:val="Comment Text Char"/>
    <w:basedOn w:val="DefaultParagraphFont"/>
    <w:link w:val="CommentText"/>
    <w:uiPriority w:val="99"/>
    <w:rsid w:val="00930BEB"/>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30BEB"/>
    <w:rPr>
      <w:b/>
      <w:bCs/>
    </w:rPr>
  </w:style>
  <w:style w:type="character" w:customStyle="1" w:styleId="CommentSubjectChar">
    <w:name w:val="Comment Subject Char"/>
    <w:basedOn w:val="CommentTextChar"/>
    <w:link w:val="CommentSubject"/>
    <w:uiPriority w:val="99"/>
    <w:semiHidden/>
    <w:rsid w:val="00930BEB"/>
    <w:rPr>
      <w:rFonts w:ascii="Times New Roman" w:hAnsi="Times New Roman"/>
      <w:b/>
      <w:bCs/>
      <w:sz w:val="20"/>
      <w:szCs w:val="20"/>
    </w:rPr>
  </w:style>
  <w:style w:type="paragraph" w:styleId="BalloonText">
    <w:name w:val="Balloon Text"/>
    <w:basedOn w:val="Normal"/>
    <w:link w:val="BalloonTextChar"/>
    <w:uiPriority w:val="99"/>
    <w:semiHidden/>
    <w:unhideWhenUsed/>
    <w:rsid w:val="00930B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BEB"/>
    <w:rPr>
      <w:rFonts w:ascii="Segoe UI" w:hAnsi="Segoe UI" w:cs="Segoe UI"/>
      <w:sz w:val="18"/>
      <w:szCs w:val="18"/>
    </w:rPr>
  </w:style>
  <w:style w:type="character" w:styleId="PlaceholderText">
    <w:name w:val="Placeholder Text"/>
    <w:basedOn w:val="DefaultParagraphFont"/>
    <w:uiPriority w:val="99"/>
    <w:semiHidden/>
    <w:rsid w:val="00930BEB"/>
    <w:rPr>
      <w:color w:val="808080"/>
    </w:rPr>
  </w:style>
  <w:style w:type="character" w:customStyle="1" w:styleId="Heading2Char">
    <w:name w:val="Heading 2 Char"/>
    <w:basedOn w:val="DefaultParagraphFont"/>
    <w:link w:val="Heading2"/>
    <w:uiPriority w:val="9"/>
    <w:rsid w:val="00D34F6F"/>
    <w:rPr>
      <w:rFonts w:ascii="Times New Roman" w:hAnsi="Times New Roman"/>
      <w:b/>
      <w:i/>
      <w:iCs/>
      <w:sz w:val="24"/>
    </w:rPr>
  </w:style>
  <w:style w:type="table" w:styleId="TableGrid">
    <w:name w:val="Table Grid"/>
    <w:basedOn w:val="TableNormal"/>
    <w:uiPriority w:val="39"/>
    <w:rsid w:val="009A2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4840"/>
    <w:pPr>
      <w:tabs>
        <w:tab w:val="center" w:pos="4680"/>
        <w:tab w:val="right" w:pos="9360"/>
      </w:tabs>
    </w:pPr>
  </w:style>
  <w:style w:type="character" w:customStyle="1" w:styleId="HeaderChar">
    <w:name w:val="Header Char"/>
    <w:basedOn w:val="DefaultParagraphFont"/>
    <w:link w:val="Header"/>
    <w:uiPriority w:val="99"/>
    <w:rsid w:val="00A44840"/>
    <w:rPr>
      <w:rFonts w:ascii="Times New Roman" w:hAnsi="Times New Roman"/>
      <w:sz w:val="24"/>
    </w:rPr>
  </w:style>
  <w:style w:type="paragraph" w:styleId="Footer">
    <w:name w:val="footer"/>
    <w:basedOn w:val="Normal"/>
    <w:link w:val="FooterChar"/>
    <w:uiPriority w:val="99"/>
    <w:unhideWhenUsed/>
    <w:rsid w:val="00A44840"/>
    <w:pPr>
      <w:tabs>
        <w:tab w:val="center" w:pos="4680"/>
        <w:tab w:val="right" w:pos="9360"/>
      </w:tabs>
    </w:pPr>
  </w:style>
  <w:style w:type="character" w:customStyle="1" w:styleId="FooterChar">
    <w:name w:val="Footer Char"/>
    <w:basedOn w:val="DefaultParagraphFont"/>
    <w:link w:val="Footer"/>
    <w:uiPriority w:val="99"/>
    <w:rsid w:val="00A44840"/>
    <w:rPr>
      <w:rFonts w:ascii="Times New Roman" w:hAnsi="Times New Roman"/>
      <w:sz w:val="24"/>
    </w:rPr>
  </w:style>
  <w:style w:type="character" w:styleId="Hyperlink">
    <w:name w:val="Hyperlink"/>
    <w:basedOn w:val="DefaultParagraphFont"/>
    <w:uiPriority w:val="99"/>
    <w:unhideWhenUsed/>
    <w:rsid w:val="00B27564"/>
    <w:rPr>
      <w:color w:val="0563C1" w:themeColor="hyperlink"/>
      <w:u w:val="single"/>
    </w:rPr>
  </w:style>
  <w:style w:type="paragraph" w:styleId="FootnoteText">
    <w:name w:val="footnote text"/>
    <w:basedOn w:val="Normal"/>
    <w:link w:val="FootnoteTextChar"/>
    <w:uiPriority w:val="99"/>
    <w:semiHidden/>
    <w:unhideWhenUsed/>
    <w:rsid w:val="00F812B6"/>
    <w:rPr>
      <w:sz w:val="20"/>
      <w:szCs w:val="20"/>
    </w:rPr>
  </w:style>
  <w:style w:type="character" w:customStyle="1" w:styleId="FootnoteTextChar">
    <w:name w:val="Footnote Text Char"/>
    <w:basedOn w:val="DefaultParagraphFont"/>
    <w:link w:val="FootnoteText"/>
    <w:uiPriority w:val="99"/>
    <w:semiHidden/>
    <w:rsid w:val="00F812B6"/>
    <w:rPr>
      <w:rFonts w:ascii="Times New Roman" w:hAnsi="Times New Roman"/>
      <w:sz w:val="20"/>
      <w:szCs w:val="20"/>
    </w:rPr>
  </w:style>
  <w:style w:type="character" w:styleId="FootnoteReference">
    <w:name w:val="footnote reference"/>
    <w:basedOn w:val="DefaultParagraphFont"/>
    <w:uiPriority w:val="99"/>
    <w:semiHidden/>
    <w:unhideWhenUsed/>
    <w:rsid w:val="00F812B6"/>
    <w:rPr>
      <w:vertAlign w:val="superscript"/>
    </w:rPr>
  </w:style>
  <w:style w:type="character" w:styleId="LineNumber">
    <w:name w:val="line number"/>
    <w:basedOn w:val="DefaultParagraphFont"/>
    <w:uiPriority w:val="99"/>
    <w:semiHidden/>
    <w:unhideWhenUsed/>
    <w:rsid w:val="00BE5DAA"/>
  </w:style>
  <w:style w:type="character" w:customStyle="1" w:styleId="Heading3Char">
    <w:name w:val="Heading 3 Char"/>
    <w:basedOn w:val="DefaultParagraphFont"/>
    <w:link w:val="Heading3"/>
    <w:uiPriority w:val="9"/>
    <w:rsid w:val="005F5DD4"/>
    <w:rPr>
      <w:rFonts w:ascii="Times New Roman" w:hAnsi="Times New Roman"/>
      <w:bCs/>
      <w:i/>
      <w:iCs/>
      <w:sz w:val="24"/>
    </w:rPr>
  </w:style>
  <w:style w:type="character" w:customStyle="1" w:styleId="Heading4Char">
    <w:name w:val="Heading 4 Char"/>
    <w:basedOn w:val="DefaultParagraphFont"/>
    <w:link w:val="Heading4"/>
    <w:uiPriority w:val="9"/>
    <w:semiHidden/>
    <w:rsid w:val="00165ACC"/>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165ACC"/>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165ACC"/>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165ACC"/>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65AC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5ACC"/>
    <w:rPr>
      <w:rFonts w:asciiTheme="majorHAnsi" w:eastAsiaTheme="majorEastAsia" w:hAnsiTheme="majorHAnsi" w:cstheme="majorBidi"/>
      <w:i/>
      <w:iCs/>
      <w:color w:val="272727" w:themeColor="text1" w:themeTint="D8"/>
      <w:sz w:val="21"/>
      <w:szCs w:val="21"/>
    </w:rPr>
  </w:style>
  <w:style w:type="table" w:customStyle="1" w:styleId="TableGrid2">
    <w:name w:val="Table Grid2"/>
    <w:basedOn w:val="TableNormal"/>
    <w:next w:val="TableGrid"/>
    <w:uiPriority w:val="59"/>
    <w:rsid w:val="00E72E70"/>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22D83"/>
    <w:pPr>
      <w:ind w:left="720"/>
      <w:contextualSpacing/>
    </w:pPr>
  </w:style>
  <w:style w:type="character" w:customStyle="1" w:styleId="UnresolvedMention1">
    <w:name w:val="Unresolved Mention1"/>
    <w:basedOn w:val="DefaultParagraphFont"/>
    <w:uiPriority w:val="99"/>
    <w:semiHidden/>
    <w:unhideWhenUsed/>
    <w:rsid w:val="00CB38CA"/>
    <w:rPr>
      <w:color w:val="605E5C"/>
      <w:shd w:val="clear" w:color="auto" w:fill="E1DFDD"/>
    </w:rPr>
  </w:style>
  <w:style w:type="character" w:styleId="FollowedHyperlink">
    <w:name w:val="FollowedHyperlink"/>
    <w:basedOn w:val="DefaultParagraphFont"/>
    <w:uiPriority w:val="99"/>
    <w:semiHidden/>
    <w:unhideWhenUsed/>
    <w:rsid w:val="004D0249"/>
    <w:rPr>
      <w:color w:val="954F72" w:themeColor="followedHyperlink"/>
      <w:u w:val="single"/>
    </w:rPr>
  </w:style>
  <w:style w:type="paragraph" w:styleId="Revision">
    <w:name w:val="Revision"/>
    <w:hidden/>
    <w:uiPriority w:val="99"/>
    <w:semiHidden/>
    <w:rsid w:val="009A528F"/>
    <w:pPr>
      <w:spacing w:after="0" w:line="240" w:lineRule="auto"/>
    </w:pPr>
    <w:rPr>
      <w:rFonts w:ascii="Times New Roman" w:hAnsi="Times New Roman"/>
      <w:sz w:val="24"/>
    </w:rPr>
  </w:style>
  <w:style w:type="paragraph" w:styleId="Caption">
    <w:name w:val="caption"/>
    <w:aliases w:val="Figures-chapter 3"/>
    <w:basedOn w:val="Normal"/>
    <w:next w:val="Normal"/>
    <w:link w:val="CaptionChar"/>
    <w:uiPriority w:val="35"/>
    <w:unhideWhenUsed/>
    <w:qFormat/>
    <w:rsid w:val="0082759F"/>
    <w:pPr>
      <w:spacing w:line="480" w:lineRule="auto"/>
      <w:contextualSpacing/>
      <w:jc w:val="center"/>
    </w:pPr>
    <w:rPr>
      <w:b/>
      <w:iCs/>
      <w:szCs w:val="18"/>
      <w:lang w:val="en-CA"/>
    </w:rPr>
  </w:style>
  <w:style w:type="character" w:customStyle="1" w:styleId="CaptionChar">
    <w:name w:val="Caption Char"/>
    <w:aliases w:val="Figures-chapter 3 Char"/>
    <w:basedOn w:val="DefaultParagraphFont"/>
    <w:link w:val="Caption"/>
    <w:uiPriority w:val="35"/>
    <w:rsid w:val="0082759F"/>
    <w:rPr>
      <w:rFonts w:ascii="Times New Roman" w:hAnsi="Times New Roman"/>
      <w:b/>
      <w:iCs/>
      <w:sz w:val="24"/>
      <w:szCs w:val="18"/>
      <w:lang w:val="en-CA"/>
    </w:rPr>
  </w:style>
  <w:style w:type="character" w:styleId="UnresolvedMention">
    <w:name w:val="Unresolved Mention"/>
    <w:basedOn w:val="DefaultParagraphFont"/>
    <w:uiPriority w:val="99"/>
    <w:semiHidden/>
    <w:unhideWhenUsed/>
    <w:rsid w:val="003F4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21084">
      <w:bodyDiv w:val="1"/>
      <w:marLeft w:val="0"/>
      <w:marRight w:val="0"/>
      <w:marTop w:val="0"/>
      <w:marBottom w:val="0"/>
      <w:divBdr>
        <w:top w:val="none" w:sz="0" w:space="0" w:color="auto"/>
        <w:left w:val="none" w:sz="0" w:space="0" w:color="auto"/>
        <w:bottom w:val="none" w:sz="0" w:space="0" w:color="auto"/>
        <w:right w:val="none" w:sz="0" w:space="0" w:color="auto"/>
      </w:divBdr>
    </w:div>
    <w:div w:id="100035027">
      <w:bodyDiv w:val="1"/>
      <w:marLeft w:val="0"/>
      <w:marRight w:val="0"/>
      <w:marTop w:val="0"/>
      <w:marBottom w:val="0"/>
      <w:divBdr>
        <w:top w:val="none" w:sz="0" w:space="0" w:color="auto"/>
        <w:left w:val="none" w:sz="0" w:space="0" w:color="auto"/>
        <w:bottom w:val="none" w:sz="0" w:space="0" w:color="auto"/>
        <w:right w:val="none" w:sz="0" w:space="0" w:color="auto"/>
      </w:divBdr>
    </w:div>
    <w:div w:id="255483656">
      <w:bodyDiv w:val="1"/>
      <w:marLeft w:val="0"/>
      <w:marRight w:val="0"/>
      <w:marTop w:val="0"/>
      <w:marBottom w:val="0"/>
      <w:divBdr>
        <w:top w:val="none" w:sz="0" w:space="0" w:color="auto"/>
        <w:left w:val="none" w:sz="0" w:space="0" w:color="auto"/>
        <w:bottom w:val="none" w:sz="0" w:space="0" w:color="auto"/>
        <w:right w:val="none" w:sz="0" w:space="0" w:color="auto"/>
      </w:divBdr>
    </w:div>
    <w:div w:id="487676782">
      <w:bodyDiv w:val="1"/>
      <w:marLeft w:val="0"/>
      <w:marRight w:val="0"/>
      <w:marTop w:val="0"/>
      <w:marBottom w:val="0"/>
      <w:divBdr>
        <w:top w:val="none" w:sz="0" w:space="0" w:color="auto"/>
        <w:left w:val="none" w:sz="0" w:space="0" w:color="auto"/>
        <w:bottom w:val="none" w:sz="0" w:space="0" w:color="auto"/>
        <w:right w:val="none" w:sz="0" w:space="0" w:color="auto"/>
      </w:divBdr>
    </w:div>
    <w:div w:id="1365985762">
      <w:bodyDiv w:val="1"/>
      <w:marLeft w:val="0"/>
      <w:marRight w:val="0"/>
      <w:marTop w:val="0"/>
      <w:marBottom w:val="0"/>
      <w:divBdr>
        <w:top w:val="none" w:sz="0" w:space="0" w:color="auto"/>
        <w:left w:val="none" w:sz="0" w:space="0" w:color="auto"/>
        <w:bottom w:val="none" w:sz="0" w:space="0" w:color="auto"/>
        <w:right w:val="none" w:sz="0" w:space="0" w:color="auto"/>
      </w:divBdr>
    </w:div>
    <w:div w:id="1446464730">
      <w:bodyDiv w:val="1"/>
      <w:marLeft w:val="0"/>
      <w:marRight w:val="0"/>
      <w:marTop w:val="0"/>
      <w:marBottom w:val="0"/>
      <w:divBdr>
        <w:top w:val="none" w:sz="0" w:space="0" w:color="auto"/>
        <w:left w:val="none" w:sz="0" w:space="0" w:color="auto"/>
        <w:bottom w:val="none" w:sz="0" w:space="0" w:color="auto"/>
        <w:right w:val="none" w:sz="0" w:space="0" w:color="auto"/>
      </w:divBdr>
    </w:div>
    <w:div w:id="1609198727">
      <w:bodyDiv w:val="1"/>
      <w:marLeft w:val="0"/>
      <w:marRight w:val="0"/>
      <w:marTop w:val="0"/>
      <w:marBottom w:val="0"/>
      <w:divBdr>
        <w:top w:val="none" w:sz="0" w:space="0" w:color="auto"/>
        <w:left w:val="none" w:sz="0" w:space="0" w:color="auto"/>
        <w:bottom w:val="none" w:sz="0" w:space="0" w:color="auto"/>
        <w:right w:val="none" w:sz="0" w:space="0" w:color="auto"/>
      </w:divBdr>
    </w:div>
    <w:div w:id="1832015118">
      <w:bodyDiv w:val="1"/>
      <w:marLeft w:val="0"/>
      <w:marRight w:val="0"/>
      <w:marTop w:val="0"/>
      <w:marBottom w:val="0"/>
      <w:divBdr>
        <w:top w:val="none" w:sz="0" w:space="0" w:color="auto"/>
        <w:left w:val="none" w:sz="0" w:space="0" w:color="auto"/>
        <w:bottom w:val="none" w:sz="0" w:space="0" w:color="auto"/>
        <w:right w:val="none" w:sz="0" w:space="0" w:color="auto"/>
      </w:divBdr>
    </w:div>
    <w:div w:id="193705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aveen.eluru@ucf.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bhowmik@pdx.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1201EF8-201A-4DAE-9F74-A1AF761C6C26}">
  <ds:schemaRefs>
    <ds:schemaRef ds:uri="http://schemas.microsoft.com/sharepoint/v3/contenttype/forms"/>
  </ds:schemaRefs>
</ds:datastoreItem>
</file>

<file path=customXml/itemProps2.xml><?xml version="1.0" encoding="utf-8"?>
<ds:datastoreItem xmlns:ds="http://schemas.openxmlformats.org/officeDocument/2006/customXml" ds:itemID="{F1CADF8C-037B-43FD-8C44-D7D024C7A51C}">
  <ds:schemaRefs>
    <ds:schemaRef ds:uri="http://schemas.openxmlformats.org/officeDocument/2006/bibliography"/>
  </ds:schemaRefs>
</ds:datastoreItem>
</file>

<file path=customXml/itemProps3.xml><?xml version="1.0" encoding="utf-8"?>
<ds:datastoreItem xmlns:ds="http://schemas.openxmlformats.org/officeDocument/2006/customXml" ds:itemID="{429D2D85-3AB2-47B9-ACA0-37996FA2D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422350-BF15-4ED9-A694-BFDF468DE17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1086</TotalTime>
  <Pages>22</Pages>
  <Words>25459</Words>
  <Characters>145119</Characters>
  <Application>Microsoft Office Word</Application>
  <DocSecurity>0</DocSecurity>
  <Lines>1209</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Tanmoy Bhowmik</dc:creator>
  <cp:keywords/>
  <dc:description/>
  <cp:lastModifiedBy>Tanmoy Bhowmik</cp:lastModifiedBy>
  <cp:revision>570</cp:revision>
  <cp:lastPrinted>2020-08-14T07:58:00Z</cp:lastPrinted>
  <dcterms:created xsi:type="dcterms:W3CDTF">2023-06-16T04:40:00Z</dcterms:created>
  <dcterms:modified xsi:type="dcterms:W3CDTF">2024-07-03T21:39:00Z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ed493790-d9dc-30f4-8b52-f4c86545d5f4</vt:lpwstr>
  </property>
  <property fmtid="{D5CDD505-2E9C-101B-9397-08002B2CF9AE}" pid="4" name="Mendeley Citation Style_1">
    <vt:lpwstr>http://www.zotero.org/styles/transportation-research-record</vt:lpwstr>
  </property>
  <property fmtid="{D5CDD505-2E9C-101B-9397-08002B2CF9AE}" pid="5" name="Mendeley Recent Style Id 0_1">
    <vt:lpwstr>http://www.zotero.org/styles/accident-analysis-and-prevention</vt:lpwstr>
  </property>
  <property fmtid="{D5CDD505-2E9C-101B-9397-08002B2CF9AE}" pid="6" name="Mendeley Recent Style Name 0_1">
    <vt:lpwstr>Accident Analysis and Prevention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http://www.zotero.org/styles/analytic-methods-in-accident-research</vt:lpwstr>
  </property>
  <property fmtid="{D5CDD505-2E9C-101B-9397-08002B2CF9AE}" pid="10" name="Mendeley Recent Style Name 2_1">
    <vt:lpwstr>Analytic Methods in Accident Research</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http://www.zotero.org/styles/transportation-research-part-b</vt:lpwstr>
  </property>
  <property fmtid="{D5CDD505-2E9C-101B-9397-08002B2CF9AE}" pid="20" name="Mendeley Recent Style Name 7_1">
    <vt:lpwstr>Transportation Research Part B</vt:lpwstr>
  </property>
  <property fmtid="{D5CDD505-2E9C-101B-9397-08002B2CF9AE}" pid="21" name="Mendeley Recent Style Id 8_1">
    <vt:lpwstr>http://www.zotero.org/styles/transportation-research-record</vt:lpwstr>
  </property>
  <property fmtid="{D5CDD505-2E9C-101B-9397-08002B2CF9AE}" pid="22" name="Mendeley Recent Style Name 8_1">
    <vt:lpwstr>Transportation Research Record: Journal of the Transportation Research Board</vt:lpwstr>
  </property>
  <property fmtid="{D5CDD505-2E9C-101B-9397-08002B2CF9AE}" pid="23" name="Mendeley Recent Style Id 9_1">
    <vt:lpwstr>http://csl.mendeley.com/styles/495441851/vancouver-2</vt:lpwstr>
  </property>
  <property fmtid="{D5CDD505-2E9C-101B-9397-08002B2CF9AE}" pid="24" name="Mendeley Recent Style Name 9_1">
    <vt:lpwstr>Vancouver - Tanmoy Bhowmik</vt:lpwstr>
  </property>
  <property fmtid="{D5CDD505-2E9C-101B-9397-08002B2CF9AE}" pid="25" name="ContentTypeId">
    <vt:lpwstr>0x010100365340BA041CDC4F86C3DA159808B7F7</vt:lpwstr>
  </property>
</Properties>
</file>